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1178" w:type="dxa"/>
        <w:tblLayout w:type="fixed"/>
        <w:tblLook w:val="0000" w:firstRow="0" w:lastRow="0" w:firstColumn="0" w:lastColumn="0" w:noHBand="0" w:noVBand="0"/>
      </w:tblPr>
      <w:tblGrid>
        <w:gridCol w:w="5778"/>
        <w:gridCol w:w="5400"/>
      </w:tblGrid>
      <w:tr w:rsidR="004C47D3" w:rsidRPr="00F4088D" w14:paraId="452FB644" w14:textId="77777777" w:rsidTr="00FF60A0">
        <w:tc>
          <w:tcPr>
            <w:tcW w:w="5778" w:type="dxa"/>
            <w:shd w:val="clear" w:color="auto" w:fill="F2F2F2" w:themeFill="background1" w:themeFillShade="F2"/>
          </w:tcPr>
          <w:p w14:paraId="1845899A" w14:textId="77777777" w:rsidR="004C47D3" w:rsidRPr="00F4088D" w:rsidRDefault="004C47D3" w:rsidP="004C47D3">
            <w:pPr>
              <w:rPr>
                <w:b/>
                <w:bCs/>
                <w:sz w:val="40"/>
                <w:szCs w:val="40"/>
              </w:rPr>
            </w:pPr>
            <w:bookmarkStart w:id="0" w:name="AgendaTitle" w:colFirst="0" w:colLast="0"/>
            <w:r w:rsidRPr="00F4088D">
              <w:rPr>
                <w:b/>
                <w:bCs/>
                <w:sz w:val="40"/>
                <w:szCs w:val="40"/>
              </w:rPr>
              <w:t>Graduate Affairs Committee</w:t>
            </w:r>
          </w:p>
          <w:p w14:paraId="3EBC98A3" w14:textId="42F7DA31" w:rsidR="004C47D3" w:rsidRPr="00F4088D" w:rsidRDefault="004D0A79" w:rsidP="004C47D3">
            <w:r w:rsidRPr="00F4088D">
              <w:rPr>
                <w:b/>
                <w:bCs/>
                <w:sz w:val="40"/>
                <w:szCs w:val="40"/>
              </w:rPr>
              <w:t>Minutes</w:t>
            </w:r>
          </w:p>
        </w:tc>
        <w:tc>
          <w:tcPr>
            <w:tcW w:w="5400" w:type="dxa"/>
            <w:shd w:val="clear" w:color="auto" w:fill="F2F2F2" w:themeFill="background1" w:themeFillShade="F2"/>
          </w:tcPr>
          <w:p w14:paraId="64387ED4" w14:textId="6DF5AB5F" w:rsidR="004C47D3" w:rsidRPr="00F4088D" w:rsidRDefault="004C47D3" w:rsidP="00FF60A0">
            <w:pPr>
              <w:rPr>
                <w:b/>
                <w:bCs/>
                <w:sz w:val="24"/>
                <w:szCs w:val="24"/>
              </w:rPr>
            </w:pPr>
            <w:bookmarkStart w:id="1" w:name="Logistics"/>
            <w:bookmarkEnd w:id="1"/>
            <w:r w:rsidRPr="00F4088D">
              <w:rPr>
                <w:b/>
                <w:bCs/>
                <w:sz w:val="24"/>
                <w:szCs w:val="24"/>
              </w:rPr>
              <w:t xml:space="preserve">Date: </w:t>
            </w:r>
            <w:r w:rsidR="00607FAE" w:rsidRPr="00F4088D">
              <w:rPr>
                <w:b/>
                <w:bCs/>
                <w:sz w:val="24"/>
                <w:szCs w:val="24"/>
              </w:rPr>
              <w:t>March 25, 2025</w:t>
            </w:r>
          </w:p>
          <w:p w14:paraId="66666E25" w14:textId="16C56363" w:rsidR="004C47D3" w:rsidRPr="00F4088D" w:rsidRDefault="004C47D3" w:rsidP="00FF60A0">
            <w:pPr>
              <w:pStyle w:val="Standard1"/>
              <w:spacing w:before="0" w:after="0"/>
              <w:rPr>
                <w:b/>
                <w:sz w:val="24"/>
              </w:rPr>
            </w:pPr>
            <w:r w:rsidRPr="00F4088D">
              <w:rPr>
                <w:b/>
                <w:sz w:val="24"/>
              </w:rPr>
              <w:t xml:space="preserve">Time: </w:t>
            </w:r>
            <w:r w:rsidR="00C45F55" w:rsidRPr="00F4088D">
              <w:rPr>
                <w:b/>
                <w:sz w:val="24"/>
              </w:rPr>
              <w:t>1:30 p.m.</w:t>
            </w:r>
          </w:p>
          <w:p w14:paraId="029C6733" w14:textId="1332E15F" w:rsidR="004C47D3" w:rsidRPr="00F4088D" w:rsidRDefault="004C47D3" w:rsidP="00FF60A0">
            <w:pPr>
              <w:pStyle w:val="Standard1"/>
              <w:spacing w:before="0" w:after="0"/>
              <w:rPr>
                <w:b/>
                <w:sz w:val="24"/>
              </w:rPr>
            </w:pPr>
            <w:r w:rsidRPr="00F4088D">
              <w:rPr>
                <w:b/>
                <w:sz w:val="24"/>
              </w:rPr>
              <w:t xml:space="preserve">Location: </w:t>
            </w:r>
            <w:r w:rsidR="00C45F55" w:rsidRPr="00F4088D">
              <w:rPr>
                <w:b/>
                <w:sz w:val="24"/>
              </w:rPr>
              <w:t>Zoom</w:t>
            </w:r>
          </w:p>
        </w:tc>
      </w:tr>
      <w:bookmarkEnd w:id="0"/>
      <w:tr w:rsidR="004C47D3" w:rsidRPr="00F4088D" w14:paraId="33492B40" w14:textId="77777777" w:rsidTr="00FF60A0">
        <w:tc>
          <w:tcPr>
            <w:tcW w:w="11178" w:type="dxa"/>
            <w:gridSpan w:val="2"/>
          </w:tcPr>
          <w:p w14:paraId="52702506" w14:textId="77777777" w:rsidR="004C47D3" w:rsidRPr="00F4088D" w:rsidRDefault="004C47D3" w:rsidP="00FF60A0">
            <w:pPr>
              <w:pStyle w:val="Standard1"/>
            </w:pPr>
          </w:p>
        </w:tc>
      </w:tr>
      <w:tr w:rsidR="004C47D3" w:rsidRPr="00F4088D" w14:paraId="2409E138" w14:textId="77777777" w:rsidTr="00FF60A0">
        <w:tc>
          <w:tcPr>
            <w:tcW w:w="11178" w:type="dxa"/>
            <w:gridSpan w:val="2"/>
          </w:tcPr>
          <w:p w14:paraId="190D0873" w14:textId="77777777" w:rsidR="004C47D3" w:rsidRPr="00F4088D" w:rsidRDefault="004C47D3" w:rsidP="00FF60A0">
            <w:pPr>
              <w:pStyle w:val="Standard1"/>
            </w:pPr>
            <w:bookmarkStart w:id="2" w:name="Names" w:colFirst="0" w:colLast="4"/>
            <w:r w:rsidRPr="00F4088D">
              <w:t>Meeting called by: Dr. Janice Blum</w:t>
            </w:r>
          </w:p>
        </w:tc>
      </w:tr>
      <w:bookmarkEnd w:id="2"/>
      <w:tr w:rsidR="004C47D3" w:rsidRPr="00F4088D" w14:paraId="0E8D8F5F" w14:textId="77777777" w:rsidTr="00FF60A0">
        <w:tc>
          <w:tcPr>
            <w:tcW w:w="11178" w:type="dxa"/>
            <w:gridSpan w:val="2"/>
          </w:tcPr>
          <w:p w14:paraId="2A11F916" w14:textId="77777777" w:rsidR="004C47D3" w:rsidRPr="00F4088D" w:rsidRDefault="004C47D3" w:rsidP="00FF60A0">
            <w:pPr>
              <w:pStyle w:val="Standard1"/>
              <w:ind w:right="1404"/>
            </w:pPr>
          </w:p>
        </w:tc>
      </w:tr>
      <w:tr w:rsidR="004C47D3" w:rsidRPr="00F4088D" w14:paraId="142815D8" w14:textId="77777777" w:rsidTr="00FF60A0">
        <w:tc>
          <w:tcPr>
            <w:tcW w:w="11178" w:type="dxa"/>
            <w:gridSpan w:val="2"/>
          </w:tcPr>
          <w:p w14:paraId="67C1E2D6" w14:textId="77777777" w:rsidR="004C47D3" w:rsidRPr="00F4088D" w:rsidRDefault="004C47D3" w:rsidP="00FF60A0">
            <w:pPr>
              <w:pStyle w:val="Standard1"/>
            </w:pPr>
            <w:r w:rsidRPr="00F4088D">
              <w:t xml:space="preserve">Attendees: </w:t>
            </w:r>
          </w:p>
        </w:tc>
      </w:tr>
      <w:tr w:rsidR="004C47D3" w:rsidRPr="00F4088D" w14:paraId="423AB223" w14:textId="77777777" w:rsidTr="00FF60A0">
        <w:trPr>
          <w:trHeight w:val="171"/>
        </w:trPr>
        <w:tc>
          <w:tcPr>
            <w:tcW w:w="11178" w:type="dxa"/>
            <w:gridSpan w:val="2"/>
          </w:tcPr>
          <w:p w14:paraId="60DABABC" w14:textId="508CD224" w:rsidR="004C47D3" w:rsidRPr="00F4088D" w:rsidRDefault="004C47D3" w:rsidP="00FF60A0">
            <w:pPr>
              <w:rPr>
                <w:sz w:val="28"/>
                <w:szCs w:val="28"/>
              </w:rPr>
            </w:pPr>
            <w:bookmarkStart w:id="3" w:name="Attendees" w:colFirst="0" w:colLast="2"/>
            <w:r w:rsidRPr="00F4088D">
              <w:t xml:space="preserve">Janice Blum (Chair), </w:t>
            </w:r>
            <w:r w:rsidR="00641467" w:rsidRPr="00F4088D">
              <w:t>Margaret Adamek</w:t>
            </w:r>
            <w:r w:rsidR="000C0062" w:rsidRPr="00F4088D">
              <w:t xml:space="preserve">, </w:t>
            </w:r>
            <w:r w:rsidR="00641467" w:rsidRPr="00F4088D">
              <w:t xml:space="preserve">Keith Avin, Kathi Badertscher, Margie Ferguson, Ray Haberski, Tabitha Hardy, Cleveland Hayes, Monica Henry, Brittney-Shea Herbert, Thomas Hurley, Amelia Hurt, </w:t>
            </w:r>
            <w:r w:rsidR="000C0062" w:rsidRPr="00F4088D">
              <w:t xml:space="preserve">Kathleen Kent, </w:t>
            </w:r>
            <w:r w:rsidR="00641467" w:rsidRPr="00F4088D">
              <w:t xml:space="preserve">Michael Klemsz, Frank Lippert, </w:t>
            </w:r>
            <w:r w:rsidR="000C0062" w:rsidRPr="00F4088D">
              <w:t xml:space="preserve">Suzann Lupton for Pierre Atlas, </w:t>
            </w:r>
            <w:r w:rsidR="00641467" w:rsidRPr="00F4088D">
              <w:t xml:space="preserve">Karl MacDorman, Jennifer Mahoney, </w:t>
            </w:r>
            <w:r w:rsidR="00023A7D" w:rsidRPr="00F4088D">
              <w:t xml:space="preserve">Kevin McCracken, </w:t>
            </w:r>
            <w:r w:rsidR="00641467" w:rsidRPr="00F4088D">
              <w:t>Kyle Minor, Christine Picard, Zach Riley, Randall Roper,</w:t>
            </w:r>
            <w:r w:rsidR="004D5CFD" w:rsidRPr="00F4088D">
              <w:t xml:space="preserve"> Anita Sale,</w:t>
            </w:r>
            <w:r w:rsidR="00641467" w:rsidRPr="00F4088D">
              <w:t xml:space="preserve"> Kelly Sumner, Lloyd Thomas Wilson, Juan Yepes, Yan Zhuang,</w:t>
            </w:r>
            <w:r w:rsidR="00A46A97" w:rsidRPr="00F4088D">
              <w:t xml:space="preserve"> </w:t>
            </w:r>
            <w:r w:rsidRPr="00F4088D">
              <w:t>Staff: Dezra Despain</w:t>
            </w:r>
            <w:r w:rsidR="00A46A97" w:rsidRPr="00F4088D">
              <w:t xml:space="preserve"> </w:t>
            </w:r>
          </w:p>
        </w:tc>
      </w:tr>
      <w:bookmarkEnd w:id="3"/>
    </w:tbl>
    <w:p w14:paraId="15C520EE" w14:textId="77777777" w:rsidR="006C578B" w:rsidRPr="00F4088D" w:rsidRDefault="006C578B" w:rsidP="001276C3"/>
    <w:tbl>
      <w:tblPr>
        <w:tblStyle w:val="TableGridLight"/>
        <w:tblpPr w:leftFromText="187" w:rightFromText="187" w:vertAnchor="text" w:horzAnchor="margin" w:tblpY="1"/>
        <w:tblW w:w="11178" w:type="dxa"/>
        <w:tblLayout w:type="fixed"/>
        <w:tblLook w:val="0420" w:firstRow="1" w:lastRow="0" w:firstColumn="0" w:lastColumn="0" w:noHBand="0" w:noVBand="1"/>
      </w:tblPr>
      <w:tblGrid>
        <w:gridCol w:w="9828"/>
        <w:gridCol w:w="1350"/>
      </w:tblGrid>
      <w:tr w:rsidR="001276C3" w:rsidRPr="00F4088D" w14:paraId="380C4464" w14:textId="77777777" w:rsidTr="008D5847">
        <w:tc>
          <w:tcPr>
            <w:tcW w:w="11178" w:type="dxa"/>
            <w:gridSpan w:val="2"/>
            <w:shd w:val="clear" w:color="auto" w:fill="F2F2F2" w:themeFill="background1" w:themeFillShade="F2"/>
          </w:tcPr>
          <w:p w14:paraId="561D2B20" w14:textId="50DE80EF" w:rsidR="001276C3" w:rsidRPr="00F4088D" w:rsidRDefault="004D0A79" w:rsidP="006C578B">
            <w:pPr>
              <w:pStyle w:val="Standard1"/>
              <w:rPr>
                <w:b/>
                <w:sz w:val="36"/>
              </w:rPr>
            </w:pPr>
            <w:bookmarkStart w:id="4" w:name="Topics"/>
            <w:bookmarkEnd w:id="4"/>
            <w:r w:rsidRPr="00F4088D">
              <w:rPr>
                <w:b/>
                <w:sz w:val="36"/>
              </w:rPr>
              <w:t>Minutes</w:t>
            </w:r>
          </w:p>
        </w:tc>
      </w:tr>
      <w:tr w:rsidR="001276C3" w:rsidRPr="00F4088D" w14:paraId="02B039BA" w14:textId="77777777" w:rsidTr="008D5847">
        <w:tc>
          <w:tcPr>
            <w:tcW w:w="9828" w:type="dxa"/>
          </w:tcPr>
          <w:p w14:paraId="49A87B08" w14:textId="39656C84" w:rsidR="001276C3" w:rsidRPr="00F4088D" w:rsidRDefault="001276C3" w:rsidP="006C578B">
            <w:pPr>
              <w:pStyle w:val="Standard1"/>
            </w:pPr>
            <w:r w:rsidRPr="00F4088D">
              <w:t xml:space="preserve">Approval of the Minutes for </w:t>
            </w:r>
            <w:r w:rsidR="00607FAE" w:rsidRPr="00F4088D">
              <w:t>February 25, 2025</w:t>
            </w:r>
            <w:r w:rsidR="004D0A79" w:rsidRPr="00F4088D">
              <w:t xml:space="preserve"> – approved</w:t>
            </w:r>
          </w:p>
        </w:tc>
        <w:tc>
          <w:tcPr>
            <w:tcW w:w="1350" w:type="dxa"/>
          </w:tcPr>
          <w:p w14:paraId="5F84BF6A" w14:textId="77777777" w:rsidR="001276C3" w:rsidRPr="00F4088D" w:rsidRDefault="001276C3" w:rsidP="006C578B">
            <w:pPr>
              <w:pStyle w:val="Standard1"/>
              <w:tabs>
                <w:tab w:val="left" w:pos="72"/>
                <w:tab w:val="left" w:pos="2116"/>
              </w:tabs>
              <w:jc w:val="right"/>
            </w:pPr>
            <w:r w:rsidRPr="00F4088D">
              <w:t>Blum</w:t>
            </w:r>
          </w:p>
        </w:tc>
      </w:tr>
      <w:tr w:rsidR="001276C3" w:rsidRPr="00F4088D" w14:paraId="0764BEB8" w14:textId="77777777" w:rsidTr="008D5847">
        <w:tc>
          <w:tcPr>
            <w:tcW w:w="9828" w:type="dxa"/>
          </w:tcPr>
          <w:p w14:paraId="1C52779E" w14:textId="77777777" w:rsidR="001276C3" w:rsidRPr="00F4088D" w:rsidRDefault="001276C3" w:rsidP="006C578B">
            <w:pPr>
              <w:pStyle w:val="Standard1"/>
            </w:pPr>
            <w:r w:rsidRPr="00F4088D">
              <w:t>Dean's Report</w:t>
            </w:r>
          </w:p>
          <w:p w14:paraId="3D246168" w14:textId="3F85160D" w:rsidR="00B42DCB" w:rsidRPr="00B42DCB" w:rsidRDefault="00B42DCB" w:rsidP="00B42DCB">
            <w:pPr>
              <w:pStyle w:val="Standard1"/>
            </w:pPr>
            <w:r w:rsidRPr="00B42DCB">
              <w:t xml:space="preserve">Dean Blum’s position will be posted this week </w:t>
            </w:r>
            <w:r w:rsidR="00BF12E3">
              <w:t xml:space="preserve">and can be found </w:t>
            </w:r>
            <w:r w:rsidRPr="00B42DCB">
              <w:t>under Executive Searches.</w:t>
            </w:r>
          </w:p>
          <w:p w14:paraId="37B9B4CA" w14:textId="77777777" w:rsidR="00B42DCB" w:rsidRPr="00B42DCB" w:rsidRDefault="00B42DCB" w:rsidP="00B42DCB">
            <w:pPr>
              <w:pStyle w:val="Standard1"/>
            </w:pPr>
            <w:r w:rsidRPr="00B42DCB">
              <w:t>Monica Henry will be leaving IU to join a nonprofit, aligning with her passion and O’Neill School background. The Graduate School will host a small farewell event in her honor. HR is finalizing details of her position.</w:t>
            </w:r>
          </w:p>
          <w:p w14:paraId="6A597356" w14:textId="0E297920" w:rsidR="00B42DCB" w:rsidRPr="00B42DCB" w:rsidRDefault="00B42DCB" w:rsidP="00B42DCB">
            <w:pPr>
              <w:pStyle w:val="Standard1"/>
            </w:pPr>
            <w:r w:rsidRPr="00B42DCB">
              <w:t>Applications are slightly down, but admitted student numbers—especially PhD—are up, likely due to funding pauses at other institutions. IU</w:t>
            </w:r>
            <w:r w:rsidR="00BF12E3">
              <w:t xml:space="preserve"> Indy</w:t>
            </w:r>
            <w:r w:rsidRPr="00B42DCB">
              <w:t xml:space="preserve"> has not expressed concerns about PhD funding.</w:t>
            </w:r>
          </w:p>
          <w:p w14:paraId="04AA8ECD" w14:textId="77777777" w:rsidR="00B42DCB" w:rsidRPr="00B42DCB" w:rsidRDefault="00B42DCB" w:rsidP="00B42DCB">
            <w:pPr>
              <w:pStyle w:val="Standard1"/>
            </w:pPr>
            <w:r w:rsidRPr="00B42DCB">
              <w:t>International admissions may face challenges due to potential visa issues.</w:t>
            </w:r>
          </w:p>
          <w:p w14:paraId="1E34F8CF" w14:textId="77777777" w:rsidR="00B42DCB" w:rsidRPr="00B42DCB" w:rsidRDefault="00B42DCB" w:rsidP="00B42DCB">
            <w:pPr>
              <w:pStyle w:val="Standard1"/>
            </w:pPr>
            <w:r w:rsidRPr="00B42DCB">
              <w:t xml:space="preserve">The graduate application portal will transition from </w:t>
            </w:r>
            <w:proofErr w:type="spellStart"/>
            <w:r w:rsidRPr="00B42DCB">
              <w:t>WebAdmit</w:t>
            </w:r>
            <w:proofErr w:type="spellEnd"/>
            <w:r w:rsidRPr="00B42DCB">
              <w:t xml:space="preserve"> to Slate in March 2026. Graduate School staff leading the project include Katina Reedy, Jennifer Mahoney, and Megan Chester.</w:t>
            </w:r>
          </w:p>
          <w:p w14:paraId="3DA33D7B" w14:textId="0BB51647" w:rsidR="00C05387" w:rsidRPr="00F4088D" w:rsidRDefault="00C05387" w:rsidP="008D5CD9">
            <w:pPr>
              <w:pStyle w:val="Standard1"/>
            </w:pPr>
          </w:p>
        </w:tc>
        <w:tc>
          <w:tcPr>
            <w:tcW w:w="1350" w:type="dxa"/>
          </w:tcPr>
          <w:p w14:paraId="3A7A7845" w14:textId="77777777" w:rsidR="001276C3" w:rsidRPr="00F4088D" w:rsidRDefault="001276C3" w:rsidP="006C578B">
            <w:pPr>
              <w:pStyle w:val="Standard1"/>
              <w:tabs>
                <w:tab w:val="left" w:pos="72"/>
                <w:tab w:val="left" w:pos="2116"/>
              </w:tabs>
              <w:jc w:val="right"/>
            </w:pPr>
            <w:r w:rsidRPr="00F4088D">
              <w:t>Blum</w:t>
            </w:r>
          </w:p>
        </w:tc>
      </w:tr>
      <w:tr w:rsidR="00745ABA" w:rsidRPr="00F4088D" w14:paraId="1F47C04B" w14:textId="77777777" w:rsidTr="008D5847">
        <w:tc>
          <w:tcPr>
            <w:tcW w:w="9828" w:type="dxa"/>
          </w:tcPr>
          <w:p w14:paraId="3C9E47FF" w14:textId="77777777" w:rsidR="00745ABA" w:rsidRPr="00F4088D" w:rsidRDefault="00745ABA" w:rsidP="006C578B">
            <w:pPr>
              <w:pStyle w:val="Standard1"/>
            </w:pPr>
            <w:r w:rsidRPr="00F4088D">
              <w:t>Associate Dean’s Report</w:t>
            </w:r>
          </w:p>
          <w:p w14:paraId="6947101E" w14:textId="5D041D25" w:rsidR="00BF12E3" w:rsidRPr="00BF12E3" w:rsidRDefault="00BF12E3" w:rsidP="00B42DCB">
            <w:pPr>
              <w:pStyle w:val="Standard1"/>
              <w:rPr>
                <w:i/>
                <w:iCs/>
              </w:rPr>
            </w:pPr>
            <w:r w:rsidRPr="00BF12E3">
              <w:rPr>
                <w:i/>
                <w:iCs/>
              </w:rPr>
              <w:t>Graduate Faculty Status and Limited Status</w:t>
            </w:r>
          </w:p>
          <w:p w14:paraId="0CC665D5" w14:textId="4D91B12E" w:rsidR="00B42DCB" w:rsidRPr="00B42DCB" w:rsidRDefault="00B42DCB" w:rsidP="00B42DCB">
            <w:pPr>
              <w:pStyle w:val="Standard1"/>
            </w:pPr>
            <w:r w:rsidRPr="00B42DCB">
              <w:t xml:space="preserve">Tenure-track faculty automatically receive </w:t>
            </w:r>
            <w:r w:rsidR="00BF12E3">
              <w:t>G</w:t>
            </w:r>
            <w:r w:rsidRPr="00B42DCB">
              <w:t>raduate</w:t>
            </w:r>
            <w:r w:rsidR="00BF12E3">
              <w:t xml:space="preserve"> F</w:t>
            </w:r>
            <w:r w:rsidRPr="00B42DCB">
              <w:t xml:space="preserve">aculty </w:t>
            </w:r>
            <w:r w:rsidR="00BF12E3">
              <w:t>S</w:t>
            </w:r>
            <w:r w:rsidRPr="00B42DCB">
              <w:t xml:space="preserve">tatus, allowing them to serve on research committees. Endorsement status is required to chair a committee. Each department or unit has its own nomination process, but individuals may submit nominations for endorsement. Graduate </w:t>
            </w:r>
            <w:r w:rsidR="00BF12E3">
              <w:t>F</w:t>
            </w:r>
            <w:r w:rsidRPr="00B42DCB">
              <w:t xml:space="preserve">aculty </w:t>
            </w:r>
            <w:r w:rsidR="00BF12E3">
              <w:t>S</w:t>
            </w:r>
            <w:r w:rsidRPr="00B42DCB">
              <w:t>tatus across all campuses is listed on the Bloomington website.</w:t>
            </w:r>
          </w:p>
          <w:p w14:paraId="323D551A" w14:textId="59592FF5" w:rsidR="00B42DCB" w:rsidRPr="00B42DCB" w:rsidRDefault="00B42DCB" w:rsidP="00B42DCB">
            <w:pPr>
              <w:pStyle w:val="Standard1"/>
            </w:pPr>
            <w:r w:rsidRPr="00B42DCB">
              <w:t>Limited status is available for non–tenure-track faculty, such as clinical or research associates/assistants, and for individuals outside the IU</w:t>
            </w:r>
            <w:r w:rsidR="00BF12E3">
              <w:t xml:space="preserve"> Indy</w:t>
            </w:r>
            <w:r w:rsidRPr="00B42DCB">
              <w:t xml:space="preserve"> campus with relevant expertise. They may serve as co-chairs or committee members, but not as chairs.</w:t>
            </w:r>
          </w:p>
          <w:p w14:paraId="75F68D2D" w14:textId="77777777" w:rsidR="00B42DCB" w:rsidRDefault="00B42DCB" w:rsidP="00B42DCB">
            <w:pPr>
              <w:pStyle w:val="Standard1"/>
            </w:pPr>
            <w:r w:rsidRPr="00B42DCB">
              <w:t>The Graduate School will maintain a protected Excel file listing those approved for Limited Faculty Status; details are forthcoming.</w:t>
            </w:r>
          </w:p>
          <w:p w14:paraId="6447C535" w14:textId="7A29602E" w:rsidR="00BF12E3" w:rsidRPr="00B42DCB" w:rsidRDefault="00BF12E3" w:rsidP="00B42DCB">
            <w:pPr>
              <w:pStyle w:val="Standard1"/>
              <w:rPr>
                <w:i/>
                <w:iCs/>
              </w:rPr>
            </w:pPr>
            <w:r w:rsidRPr="00BF12E3">
              <w:rPr>
                <w:i/>
                <w:iCs/>
              </w:rPr>
              <w:t>Principles of Graduate and Professional Learning</w:t>
            </w:r>
          </w:p>
          <w:p w14:paraId="1DB8AC53" w14:textId="7C034755" w:rsidR="006B0293" w:rsidRPr="00F4088D" w:rsidRDefault="00B42DCB" w:rsidP="006C578B">
            <w:pPr>
              <w:pStyle w:val="Standard1"/>
            </w:pPr>
            <w:r w:rsidRPr="00F4088D">
              <w:t>When first building a program, it’s important to define the specific objectives or principles you want to incorporate into the degree. These serve as a foundation for both program design and assessment. Clear objectives help determine whether the program is meeting its intended goals and producing the desired outcomes in learners by the time they graduate.</w:t>
            </w:r>
            <w:r w:rsidR="00A46A97" w:rsidRPr="00F4088D">
              <w:t xml:space="preserve"> </w:t>
            </w:r>
            <w:r w:rsidRPr="00F4088D">
              <w:t>IU Indianapolis' Principles of Graduate and Professional Learning</w:t>
            </w:r>
            <w:r w:rsidR="00C173B2" w:rsidRPr="00F4088D">
              <w:t xml:space="preserve"> (PGPL)</w:t>
            </w:r>
            <w:r w:rsidRPr="00F4088D">
              <w:t xml:space="preserve"> outline</w:t>
            </w:r>
            <w:r w:rsidR="00BF12E3">
              <w:t>s</w:t>
            </w:r>
            <w:r w:rsidRPr="00F4088D">
              <w:t xml:space="preserve"> the general expectations for maintaining this excellence. </w:t>
            </w:r>
          </w:p>
          <w:p w14:paraId="6FC1A72C" w14:textId="77777777" w:rsidR="00F55699" w:rsidRPr="00F55699" w:rsidRDefault="00F55699" w:rsidP="00F55699">
            <w:pPr>
              <w:pStyle w:val="Standard1"/>
            </w:pPr>
            <w:r w:rsidRPr="00F55699">
              <w:t>The PGPL are broad, cross-disciplinary guidelines applicable to PhD, master’s, and professional graduate degrees. They provide a foundation for curriculum development and should be regularly reviewed to ensure programs support key competencies in knowledge, communication, critical thinking, and ethical research.</w:t>
            </w:r>
          </w:p>
          <w:p w14:paraId="73373E3D" w14:textId="77777777" w:rsidR="00F55699" w:rsidRPr="00F55699" w:rsidRDefault="00F55699" w:rsidP="00F55699">
            <w:pPr>
              <w:pStyle w:val="Standard1"/>
            </w:pPr>
            <w:r w:rsidRPr="00F55699">
              <w:t>Assessment methods include coursework performance, preliminary and qualifying exams, lab evaluations, and research committee reviews. Direct faculty mentorship is essential, and the Graduate Mentoring Center, led by Randall Roper, offers valuable support across disciplines.</w:t>
            </w:r>
          </w:p>
          <w:p w14:paraId="295BA2B9" w14:textId="77777777" w:rsidR="00F55699" w:rsidRPr="00F55699" w:rsidRDefault="00F55699" w:rsidP="00F55699">
            <w:pPr>
              <w:pStyle w:val="Standard1"/>
            </w:pPr>
            <w:r w:rsidRPr="00F55699">
              <w:t>Programs should use the PGPL to guide and, if needed, update their learning outcomes to align with these core, widely applicable principles.</w:t>
            </w:r>
          </w:p>
          <w:p w14:paraId="4F8DB6AE" w14:textId="68ED3972" w:rsidR="00C173B2" w:rsidRPr="00F4088D" w:rsidRDefault="00C173B2" w:rsidP="00C173B2">
            <w:pPr>
              <w:pStyle w:val="Standard1"/>
            </w:pPr>
          </w:p>
        </w:tc>
        <w:tc>
          <w:tcPr>
            <w:tcW w:w="1350" w:type="dxa"/>
          </w:tcPr>
          <w:p w14:paraId="0AA60CDA" w14:textId="46942DCD" w:rsidR="00745ABA" w:rsidRPr="00F4088D" w:rsidRDefault="00745ABA" w:rsidP="006C578B">
            <w:pPr>
              <w:pStyle w:val="Standard1"/>
              <w:tabs>
                <w:tab w:val="left" w:pos="72"/>
                <w:tab w:val="left" w:pos="2116"/>
              </w:tabs>
              <w:jc w:val="right"/>
            </w:pPr>
            <w:r w:rsidRPr="00F4088D">
              <w:t>Avin</w:t>
            </w:r>
          </w:p>
        </w:tc>
      </w:tr>
      <w:tr w:rsidR="001276C3" w:rsidRPr="00F4088D" w14:paraId="6EC7CC8D" w14:textId="77777777" w:rsidTr="008D5847">
        <w:tc>
          <w:tcPr>
            <w:tcW w:w="9828" w:type="dxa"/>
          </w:tcPr>
          <w:p w14:paraId="564EA1DD" w14:textId="77777777" w:rsidR="001276C3" w:rsidRPr="00F4088D" w:rsidRDefault="001276C3" w:rsidP="006C578B">
            <w:pPr>
              <w:pStyle w:val="Standard1"/>
            </w:pPr>
            <w:r w:rsidRPr="00F4088D">
              <w:t>Assistant Dean's Report</w:t>
            </w:r>
          </w:p>
          <w:p w14:paraId="5A2A0EBE" w14:textId="141152A1" w:rsidR="009D3B12" w:rsidRPr="00F4088D" w:rsidRDefault="009D3B12" w:rsidP="009D3B12">
            <w:pPr>
              <w:pStyle w:val="Standard1"/>
            </w:pPr>
            <w:r w:rsidRPr="00F4088D">
              <w:lastRenderedPageBreak/>
              <w:t xml:space="preserve">The deadline has been extended for the </w:t>
            </w:r>
            <w:r w:rsidR="00BF12E3" w:rsidRPr="00BF12E3">
              <w:rPr>
                <w:i/>
                <w:iCs/>
              </w:rPr>
              <w:t>S</w:t>
            </w:r>
            <w:r w:rsidRPr="00BF12E3">
              <w:rPr>
                <w:i/>
                <w:iCs/>
              </w:rPr>
              <w:t xml:space="preserve">tudent </w:t>
            </w:r>
            <w:r w:rsidR="00BF12E3" w:rsidRPr="00BF12E3">
              <w:rPr>
                <w:i/>
                <w:iCs/>
              </w:rPr>
              <w:t>P</w:t>
            </w:r>
            <w:r w:rsidRPr="00BF12E3">
              <w:rPr>
                <w:i/>
                <w:iCs/>
              </w:rPr>
              <w:t xml:space="preserve">arent </w:t>
            </w:r>
            <w:r w:rsidR="00BF12E3" w:rsidRPr="00BF12E3">
              <w:rPr>
                <w:i/>
                <w:iCs/>
              </w:rPr>
              <w:t>S</w:t>
            </w:r>
            <w:r w:rsidRPr="00BF12E3">
              <w:rPr>
                <w:i/>
                <w:iCs/>
              </w:rPr>
              <w:t>urvey</w:t>
            </w:r>
            <w:r w:rsidRPr="00F4088D">
              <w:t xml:space="preserve"> to March 31</w:t>
            </w:r>
            <w:r w:rsidRPr="00F4088D">
              <w:rPr>
                <w:vertAlign w:val="superscript"/>
              </w:rPr>
              <w:t>st</w:t>
            </w:r>
            <w:r w:rsidRPr="00F4088D">
              <w:t>. This task force is hoping to assess their needs and see how the university can address these.</w:t>
            </w:r>
          </w:p>
          <w:p w14:paraId="1A846F75" w14:textId="1EA01EE2" w:rsidR="009D3B12" w:rsidRPr="00F4088D" w:rsidRDefault="009D3B12" w:rsidP="009D3B12">
            <w:pPr>
              <w:pStyle w:val="Standard1"/>
            </w:pPr>
            <w:r w:rsidRPr="00F4088D">
              <w:t xml:space="preserve">April 1 PFFP, UWC and the CTL will be hosting a session on </w:t>
            </w:r>
            <w:r w:rsidR="00BF12E3" w:rsidRPr="00BF12E3">
              <w:rPr>
                <w:i/>
                <w:iCs/>
              </w:rPr>
              <w:t>D</w:t>
            </w:r>
            <w:r w:rsidRPr="00BF12E3">
              <w:rPr>
                <w:i/>
                <w:iCs/>
              </w:rPr>
              <w:t xml:space="preserve">eveloping </w:t>
            </w:r>
            <w:r w:rsidR="00BF12E3" w:rsidRPr="00BF12E3">
              <w:rPr>
                <w:i/>
                <w:iCs/>
              </w:rPr>
              <w:t>Y</w:t>
            </w:r>
            <w:r w:rsidRPr="00BF12E3">
              <w:rPr>
                <w:i/>
                <w:iCs/>
              </w:rPr>
              <w:t xml:space="preserve">our </w:t>
            </w:r>
            <w:r w:rsidR="00BF12E3" w:rsidRPr="00BF12E3">
              <w:rPr>
                <w:i/>
                <w:iCs/>
              </w:rPr>
              <w:t>T</w:t>
            </w:r>
            <w:r w:rsidRPr="00BF12E3">
              <w:rPr>
                <w:i/>
                <w:iCs/>
              </w:rPr>
              <w:t xml:space="preserve">eaching </w:t>
            </w:r>
            <w:r w:rsidR="00BF12E3" w:rsidRPr="00BF12E3">
              <w:rPr>
                <w:i/>
                <w:iCs/>
              </w:rPr>
              <w:t>S</w:t>
            </w:r>
            <w:r w:rsidRPr="00BF12E3">
              <w:rPr>
                <w:i/>
                <w:iCs/>
              </w:rPr>
              <w:t>tatement</w:t>
            </w:r>
            <w:r w:rsidRPr="00F4088D">
              <w:t xml:space="preserve"> 4-5:30pm UL 1126</w:t>
            </w:r>
            <w:r w:rsidR="00702AE0" w:rsidRPr="00F4088D">
              <w:t>.</w:t>
            </w:r>
          </w:p>
          <w:p w14:paraId="5F4D71C5" w14:textId="6B84F675" w:rsidR="009D3B12" w:rsidRPr="00F4088D" w:rsidRDefault="009D3B12" w:rsidP="009D3B12">
            <w:pPr>
              <w:pStyle w:val="Standard1"/>
            </w:pPr>
            <w:r w:rsidRPr="00BF12E3">
              <w:rPr>
                <w:i/>
                <w:iCs/>
              </w:rPr>
              <w:t>Grad</w:t>
            </w:r>
            <w:r w:rsidR="00BF12E3" w:rsidRPr="00BF12E3">
              <w:rPr>
                <w:i/>
                <w:iCs/>
              </w:rPr>
              <w:t xml:space="preserve">uate and </w:t>
            </w:r>
            <w:commentRangeStart w:id="5"/>
            <w:r w:rsidR="00BF12E3" w:rsidRPr="00BF12E3">
              <w:rPr>
                <w:i/>
                <w:iCs/>
              </w:rPr>
              <w:t>Professional</w:t>
            </w:r>
            <w:r w:rsidRPr="00BF12E3">
              <w:rPr>
                <w:i/>
                <w:iCs/>
              </w:rPr>
              <w:t xml:space="preserve"> </w:t>
            </w:r>
            <w:r w:rsidR="00BF12E3" w:rsidRPr="00BF12E3">
              <w:rPr>
                <w:i/>
                <w:iCs/>
              </w:rPr>
              <w:t>A</w:t>
            </w:r>
            <w:r w:rsidRPr="00BF12E3">
              <w:rPr>
                <w:i/>
                <w:iCs/>
              </w:rPr>
              <w:t>ppreciation</w:t>
            </w:r>
            <w:r w:rsidR="00D83131">
              <w:rPr>
                <w:i/>
                <w:iCs/>
              </w:rPr>
              <w:t xml:space="preserve"> </w:t>
            </w:r>
            <w:commentRangeEnd w:id="5"/>
            <w:r w:rsidR="00D83131">
              <w:rPr>
                <w:rStyle w:val="CommentReference"/>
              </w:rPr>
              <w:commentReference w:id="5"/>
            </w:r>
            <w:r w:rsidR="00BF12E3" w:rsidRPr="00BF12E3">
              <w:rPr>
                <w:i/>
                <w:iCs/>
              </w:rPr>
              <w:t>W</w:t>
            </w:r>
            <w:r w:rsidRPr="00BF12E3">
              <w:rPr>
                <w:i/>
                <w:iCs/>
              </w:rPr>
              <w:t>eek</w:t>
            </w:r>
            <w:r w:rsidRPr="00F4088D">
              <w:t xml:space="preserve"> </w:t>
            </w:r>
            <w:r w:rsidR="007E18E2" w:rsidRPr="00F4088D">
              <w:t>is</w:t>
            </w:r>
            <w:r w:rsidRPr="00F4088D">
              <w:t xml:space="preserve"> April 7-11</w:t>
            </w:r>
            <w:r w:rsidR="007E18E2" w:rsidRPr="00F4088D">
              <w:t>. The following activities are planned:</w:t>
            </w:r>
          </w:p>
          <w:p w14:paraId="5D7D9EEE" w14:textId="20B2348D" w:rsidR="007E18E2" w:rsidRPr="00F4088D" w:rsidRDefault="009D3B12" w:rsidP="007E18E2">
            <w:pPr>
              <w:pStyle w:val="Standard1"/>
              <w:ind w:left="150"/>
            </w:pPr>
            <w:r w:rsidRPr="00F4088D">
              <w:t>April 7</w:t>
            </w:r>
            <w:r w:rsidRPr="00F4088D">
              <w:rPr>
                <w:vertAlign w:val="superscript"/>
              </w:rPr>
              <w:t>th</w:t>
            </w:r>
            <w:r w:rsidR="00702AE0" w:rsidRPr="00F4088D">
              <w:t xml:space="preserve"> </w:t>
            </w:r>
            <w:r w:rsidRPr="00F4088D">
              <w:t xml:space="preserve">from 12-2 the </w:t>
            </w:r>
            <w:r w:rsidR="00BF12E3">
              <w:t>G</w:t>
            </w:r>
            <w:r w:rsidRPr="00F4088D">
              <w:t>rad</w:t>
            </w:r>
            <w:r w:rsidR="00BF12E3">
              <w:t>uate</w:t>
            </w:r>
            <w:r w:rsidRPr="00F4088D">
              <w:t xml:space="preserve"> </w:t>
            </w:r>
            <w:r w:rsidR="00BF12E3">
              <w:t>S</w:t>
            </w:r>
            <w:r w:rsidRPr="00F4088D">
              <w:t xml:space="preserve">chool will host </w:t>
            </w:r>
            <w:r w:rsidRPr="00BF12E3">
              <w:rPr>
                <w:i/>
                <w:iCs/>
              </w:rPr>
              <w:t>Snaps, Slices and Swag</w:t>
            </w:r>
            <w:r w:rsidRPr="00F4088D">
              <w:t xml:space="preserve"> </w:t>
            </w:r>
            <w:r w:rsidR="003F0F1C">
              <w:t xml:space="preserve">in UL 1126 </w:t>
            </w:r>
            <w:r w:rsidRPr="00F4088D">
              <w:t>where free headshots, pizza and swag</w:t>
            </w:r>
            <w:r w:rsidR="003F0F1C">
              <w:t xml:space="preserve"> will be offered.</w:t>
            </w:r>
          </w:p>
          <w:p w14:paraId="391281C3" w14:textId="60B126C7" w:rsidR="009D3B12" w:rsidRPr="00F4088D" w:rsidRDefault="007E18E2" w:rsidP="007E18E2">
            <w:pPr>
              <w:pStyle w:val="Standard1"/>
              <w:ind w:left="150"/>
            </w:pPr>
            <w:r w:rsidRPr="00F4088D">
              <w:t xml:space="preserve">The </w:t>
            </w:r>
            <w:r w:rsidR="009D3B12" w:rsidRPr="007222BC">
              <w:rPr>
                <w:i/>
                <w:iCs/>
              </w:rPr>
              <w:t>Elite 50</w:t>
            </w:r>
            <w:r w:rsidRPr="003F0F1C">
              <w:rPr>
                <w:i/>
                <w:iCs/>
              </w:rPr>
              <w:t xml:space="preserve"> </w:t>
            </w:r>
            <w:r w:rsidR="009D3B12" w:rsidRPr="003F0F1C">
              <w:rPr>
                <w:i/>
                <w:iCs/>
              </w:rPr>
              <w:t>Celebration</w:t>
            </w:r>
            <w:r w:rsidR="009D3B12" w:rsidRPr="00F4088D">
              <w:t xml:space="preserve"> </w:t>
            </w:r>
            <w:r w:rsidRPr="00F4088D">
              <w:t xml:space="preserve">will be April 7 at </w:t>
            </w:r>
            <w:r w:rsidR="009D3B12" w:rsidRPr="00F4088D">
              <w:t xml:space="preserve">6:30pm </w:t>
            </w:r>
            <w:r w:rsidRPr="00F4088D">
              <w:t xml:space="preserve">in </w:t>
            </w:r>
            <w:r w:rsidR="009D3B12" w:rsidRPr="00F4088D">
              <w:t>Hine Hall auditorium</w:t>
            </w:r>
          </w:p>
          <w:p w14:paraId="67A4E249" w14:textId="341D5717" w:rsidR="007E18E2" w:rsidRPr="00F4088D" w:rsidRDefault="009D3B12" w:rsidP="007E18E2">
            <w:pPr>
              <w:pStyle w:val="Standard1"/>
              <w:ind w:left="144"/>
              <w:contextualSpacing/>
            </w:pPr>
            <w:r w:rsidRPr="00F4088D">
              <w:t xml:space="preserve">April 9, GPSG and </w:t>
            </w:r>
            <w:proofErr w:type="spellStart"/>
            <w:r w:rsidRPr="00F4088D">
              <w:t>UPnGO</w:t>
            </w:r>
            <w:proofErr w:type="spellEnd"/>
            <w:r w:rsidRPr="00F4088D">
              <w:t xml:space="preserve"> will co-sponsor a </w:t>
            </w:r>
            <w:r w:rsidR="003F0F1C" w:rsidRPr="003F0F1C">
              <w:rPr>
                <w:i/>
                <w:iCs/>
              </w:rPr>
              <w:t>G</w:t>
            </w:r>
            <w:r w:rsidRPr="003F0F1C">
              <w:rPr>
                <w:i/>
                <w:iCs/>
              </w:rPr>
              <w:t>rad</w:t>
            </w:r>
            <w:r w:rsidR="003F0F1C" w:rsidRPr="003F0F1C">
              <w:rPr>
                <w:i/>
                <w:iCs/>
              </w:rPr>
              <w:t>uate</w:t>
            </w:r>
            <w:r w:rsidRPr="003F0F1C">
              <w:rPr>
                <w:i/>
                <w:iCs/>
              </w:rPr>
              <w:t xml:space="preserve"> </w:t>
            </w:r>
            <w:r w:rsidR="003F0F1C" w:rsidRPr="003F0F1C">
              <w:rPr>
                <w:i/>
                <w:iCs/>
              </w:rPr>
              <w:t>S</w:t>
            </w:r>
            <w:r w:rsidRPr="003F0F1C">
              <w:rPr>
                <w:i/>
                <w:iCs/>
              </w:rPr>
              <w:t xml:space="preserve">tudent </w:t>
            </w:r>
            <w:r w:rsidR="003F0F1C" w:rsidRPr="003F0F1C">
              <w:rPr>
                <w:i/>
                <w:iCs/>
              </w:rPr>
              <w:t>G</w:t>
            </w:r>
            <w:r w:rsidRPr="003F0F1C">
              <w:rPr>
                <w:i/>
                <w:iCs/>
              </w:rPr>
              <w:t xml:space="preserve">ame </w:t>
            </w:r>
            <w:r w:rsidR="003F0F1C" w:rsidRPr="003F0F1C">
              <w:rPr>
                <w:i/>
                <w:iCs/>
              </w:rPr>
              <w:t>N</w:t>
            </w:r>
            <w:r w:rsidRPr="003F0F1C">
              <w:rPr>
                <w:i/>
                <w:iCs/>
              </w:rPr>
              <w:t>ight</w:t>
            </w:r>
            <w:r w:rsidRPr="00F4088D">
              <w:t xml:space="preserve"> in the lower level of the library</w:t>
            </w:r>
            <w:r w:rsidR="007E18E2" w:rsidRPr="00F4088D">
              <w:t xml:space="preserve"> f</w:t>
            </w:r>
            <w:r w:rsidRPr="00F4088D">
              <w:t>rom 5:30-8pm</w:t>
            </w:r>
          </w:p>
          <w:p w14:paraId="175DACD2" w14:textId="77777777" w:rsidR="009D3B12" w:rsidRPr="00F4088D" w:rsidRDefault="009D3B12" w:rsidP="007E18E2">
            <w:pPr>
              <w:pStyle w:val="Standard1"/>
              <w:contextualSpacing/>
            </w:pPr>
            <w:r w:rsidRPr="00F4088D">
              <w:t>The</w:t>
            </w:r>
            <w:r w:rsidR="007E18E2" w:rsidRPr="00F4088D">
              <w:t xml:space="preserve"> </w:t>
            </w:r>
            <w:r w:rsidRPr="003F0F1C">
              <w:rPr>
                <w:i/>
                <w:iCs/>
              </w:rPr>
              <w:t>Grad Jag Writers Workshop</w:t>
            </w:r>
            <w:r w:rsidR="007E18E2" w:rsidRPr="00F4088D">
              <w:t xml:space="preserve"> </w:t>
            </w:r>
            <w:r w:rsidRPr="00F4088D">
              <w:t>with University Writing Center will be</w:t>
            </w:r>
            <w:r w:rsidR="007E18E2" w:rsidRPr="00F4088D">
              <w:t xml:space="preserve"> in the Grad Commons on</w:t>
            </w:r>
            <w:r w:rsidRPr="00F4088D">
              <w:t xml:space="preserve"> Mondays </w:t>
            </w:r>
            <w:r w:rsidR="00702AE0" w:rsidRPr="00F4088D">
              <w:t xml:space="preserve">from </w:t>
            </w:r>
            <w:r w:rsidRPr="00F4088D">
              <w:t>3-5</w:t>
            </w:r>
            <w:r w:rsidR="00702AE0" w:rsidRPr="00F4088D">
              <w:t>pm</w:t>
            </w:r>
            <w:r w:rsidR="007E18E2" w:rsidRPr="00F4088D">
              <w:t>,</w:t>
            </w:r>
            <w:r w:rsidRPr="00F4088D">
              <w:t xml:space="preserve"> and </w:t>
            </w:r>
            <w:r w:rsidR="007E18E2" w:rsidRPr="00F4088D">
              <w:t xml:space="preserve">hybrid on Thursdays </w:t>
            </w:r>
            <w:r w:rsidRPr="00F4088D">
              <w:t>8-10am.</w:t>
            </w:r>
          </w:p>
          <w:p w14:paraId="3EF54F8B" w14:textId="76630C0D" w:rsidR="005451DA" w:rsidRPr="00F4088D" w:rsidRDefault="005451DA" w:rsidP="007E18E2">
            <w:pPr>
              <w:pStyle w:val="Standard1"/>
              <w:contextualSpacing/>
            </w:pPr>
          </w:p>
        </w:tc>
        <w:tc>
          <w:tcPr>
            <w:tcW w:w="1350" w:type="dxa"/>
          </w:tcPr>
          <w:p w14:paraId="63F951E6" w14:textId="77777777" w:rsidR="001276C3" w:rsidRPr="00F4088D" w:rsidRDefault="001276C3" w:rsidP="006C578B">
            <w:pPr>
              <w:pStyle w:val="Standard1"/>
              <w:tabs>
                <w:tab w:val="left" w:pos="72"/>
              </w:tabs>
              <w:jc w:val="right"/>
            </w:pPr>
            <w:r w:rsidRPr="00F4088D">
              <w:lastRenderedPageBreak/>
              <w:t>Hardy</w:t>
            </w:r>
          </w:p>
        </w:tc>
      </w:tr>
      <w:tr w:rsidR="001276C3" w:rsidRPr="00F4088D" w14:paraId="256BF1C5" w14:textId="77777777" w:rsidTr="008D5847">
        <w:tc>
          <w:tcPr>
            <w:tcW w:w="9828" w:type="dxa"/>
          </w:tcPr>
          <w:p w14:paraId="2C8EE108" w14:textId="77777777" w:rsidR="001276C3" w:rsidRPr="00F4088D" w:rsidRDefault="001276C3" w:rsidP="006C578B">
            <w:pPr>
              <w:pStyle w:val="Standard1"/>
            </w:pPr>
            <w:r w:rsidRPr="00F4088D">
              <w:t>Graduate Mentoring Center</w:t>
            </w:r>
          </w:p>
          <w:p w14:paraId="679B2294" w14:textId="500817AB" w:rsidR="009E1E36" w:rsidRPr="00F4088D" w:rsidRDefault="009E1E36" w:rsidP="009E1E36">
            <w:pPr>
              <w:pStyle w:val="Standard1"/>
            </w:pPr>
            <w:r w:rsidRPr="00F4088D">
              <w:t>The Graduate Mentoring Center will have fillable documents that mentors can use to express appreciation to their students</w:t>
            </w:r>
            <w:r w:rsidR="003F0F1C">
              <w:t xml:space="preserve"> during Graduate and Professional Student Appreciation Week</w:t>
            </w:r>
            <w:r w:rsidRPr="00F4088D">
              <w:t>.</w:t>
            </w:r>
          </w:p>
          <w:p w14:paraId="36CA141C" w14:textId="77777777" w:rsidR="009E1E36" w:rsidRPr="00F4088D" w:rsidRDefault="009E1E36" w:rsidP="009E1E36">
            <w:pPr>
              <w:pStyle w:val="Standard1"/>
            </w:pPr>
            <w:r w:rsidRPr="00F4088D">
              <w:t xml:space="preserve">The GMC is working with schools and departments to improve mentoring. They have multiple trainings for graduate students and faculty, including resources to talk about overcoming harassment. These sessions include 1, 2, and 8 </w:t>
            </w:r>
            <w:proofErr w:type="gramStart"/>
            <w:r w:rsidRPr="00F4088D">
              <w:t>hour</w:t>
            </w:r>
            <w:proofErr w:type="gramEnd"/>
            <w:r w:rsidRPr="00F4088D">
              <w:t xml:space="preserve"> online and in person trainings.</w:t>
            </w:r>
          </w:p>
          <w:p w14:paraId="01FF41ED" w14:textId="27D54D7C" w:rsidR="005451DA" w:rsidRPr="00F4088D" w:rsidRDefault="005451DA" w:rsidP="009E1E36">
            <w:pPr>
              <w:pStyle w:val="Standard1"/>
            </w:pPr>
          </w:p>
        </w:tc>
        <w:tc>
          <w:tcPr>
            <w:tcW w:w="1350" w:type="dxa"/>
          </w:tcPr>
          <w:p w14:paraId="3890C896" w14:textId="77777777" w:rsidR="001276C3" w:rsidRPr="00F4088D" w:rsidRDefault="001276C3" w:rsidP="006C578B">
            <w:pPr>
              <w:pStyle w:val="Standard1"/>
              <w:tabs>
                <w:tab w:val="left" w:pos="72"/>
              </w:tabs>
              <w:jc w:val="right"/>
            </w:pPr>
            <w:r w:rsidRPr="00F4088D">
              <w:t>Roper</w:t>
            </w:r>
          </w:p>
        </w:tc>
      </w:tr>
      <w:tr w:rsidR="001276C3" w:rsidRPr="00F4088D" w14:paraId="51E3611A" w14:textId="77777777" w:rsidTr="008D5847">
        <w:tc>
          <w:tcPr>
            <w:tcW w:w="9828" w:type="dxa"/>
          </w:tcPr>
          <w:p w14:paraId="59C6C349" w14:textId="77777777" w:rsidR="001276C3" w:rsidRPr="00F4088D" w:rsidRDefault="001276C3" w:rsidP="006C578B">
            <w:pPr>
              <w:pStyle w:val="Standard1"/>
            </w:pPr>
            <w:r w:rsidRPr="00F4088D">
              <w:t>Graduate and Professional Student Government</w:t>
            </w:r>
          </w:p>
          <w:p w14:paraId="18C21A0B" w14:textId="77777777" w:rsidR="007E18E2" w:rsidRPr="00F4088D" w:rsidRDefault="007E18E2" w:rsidP="006C578B">
            <w:pPr>
              <w:pStyle w:val="Standard1"/>
            </w:pPr>
            <w:r w:rsidRPr="00F4088D">
              <w:t>Not in attendance</w:t>
            </w:r>
          </w:p>
          <w:p w14:paraId="3926E3CA" w14:textId="32C6A284" w:rsidR="005451DA" w:rsidRPr="00F4088D" w:rsidRDefault="005451DA" w:rsidP="006C578B">
            <w:pPr>
              <w:pStyle w:val="Standard1"/>
            </w:pPr>
          </w:p>
        </w:tc>
        <w:tc>
          <w:tcPr>
            <w:tcW w:w="1350" w:type="dxa"/>
          </w:tcPr>
          <w:p w14:paraId="23FD9254" w14:textId="562397E0" w:rsidR="001276C3" w:rsidRPr="00F4088D" w:rsidRDefault="00856EC8" w:rsidP="006C578B">
            <w:pPr>
              <w:pStyle w:val="Standard1"/>
              <w:tabs>
                <w:tab w:val="left" w:pos="72"/>
              </w:tabs>
              <w:jc w:val="right"/>
            </w:pPr>
            <w:r w:rsidRPr="00F4088D">
              <w:t>Brokaw</w:t>
            </w:r>
          </w:p>
        </w:tc>
      </w:tr>
      <w:tr w:rsidR="001276C3" w:rsidRPr="00F4088D" w14:paraId="6CC1230B" w14:textId="77777777" w:rsidTr="008D5847">
        <w:tc>
          <w:tcPr>
            <w:tcW w:w="9828" w:type="dxa"/>
          </w:tcPr>
          <w:p w14:paraId="53659F74" w14:textId="77777777" w:rsidR="001276C3" w:rsidRPr="00F4088D" w:rsidRDefault="001276C3" w:rsidP="006C578B">
            <w:pPr>
              <w:pStyle w:val="Standard1"/>
            </w:pPr>
            <w:r w:rsidRPr="00F4088D">
              <w:t xml:space="preserve">Graduate </w:t>
            </w:r>
            <w:r w:rsidR="00F26D77" w:rsidRPr="00F4088D">
              <w:t>School</w:t>
            </w:r>
            <w:r w:rsidRPr="00F4088D">
              <w:t xml:space="preserve"> Reports</w:t>
            </w:r>
          </w:p>
          <w:p w14:paraId="0BE3E411" w14:textId="2EC2177E" w:rsidR="009E1E36" w:rsidRPr="00F4088D" w:rsidRDefault="009E1E36" w:rsidP="009E1E36">
            <w:pPr>
              <w:pStyle w:val="Standard1"/>
            </w:pPr>
            <w:r w:rsidRPr="00F4088D">
              <w:t>An</w:t>
            </w:r>
            <w:r w:rsidR="00702AE0" w:rsidRPr="00F4088D">
              <w:t xml:space="preserve"> </w:t>
            </w:r>
            <w:r w:rsidRPr="00F4088D">
              <w:t xml:space="preserve">Excel spreadsheet in Teams was created that lists Slate and </w:t>
            </w:r>
            <w:proofErr w:type="spellStart"/>
            <w:r w:rsidRPr="00F4088D">
              <w:t>Stellic</w:t>
            </w:r>
            <w:proofErr w:type="spellEnd"/>
            <w:r w:rsidRPr="00F4088D">
              <w:t xml:space="preserve"> initiative representatives. </w:t>
            </w:r>
          </w:p>
          <w:p w14:paraId="5CBB8070" w14:textId="77777777" w:rsidR="009E1E36" w:rsidRPr="00F4088D" w:rsidRDefault="009D3B12" w:rsidP="007E18E2">
            <w:pPr>
              <w:pStyle w:val="Standard1"/>
            </w:pPr>
            <w:r w:rsidRPr="00F4088D">
              <w:t>C</w:t>
            </w:r>
            <w:r w:rsidR="009E1E36" w:rsidRPr="00F4088D">
              <w:t>urriculum</w:t>
            </w:r>
            <w:r w:rsidRPr="00F4088D">
              <w:t xml:space="preserve"> and or </w:t>
            </w:r>
            <w:r w:rsidR="009E1E36" w:rsidRPr="00F4088D">
              <w:t xml:space="preserve">degree requirement </w:t>
            </w:r>
            <w:r w:rsidRPr="00F4088D">
              <w:t xml:space="preserve">changes must go </w:t>
            </w:r>
            <w:r w:rsidR="009E1E36" w:rsidRPr="00F4088D">
              <w:t xml:space="preserve">through </w:t>
            </w:r>
            <w:r w:rsidRPr="00F4088D">
              <w:t xml:space="preserve">the </w:t>
            </w:r>
            <w:r w:rsidR="009E1E36" w:rsidRPr="00F4088D">
              <w:t xml:space="preserve">GAC approval process </w:t>
            </w:r>
            <w:r w:rsidRPr="00F4088D">
              <w:t>by</w:t>
            </w:r>
            <w:r w:rsidR="009E1E36" w:rsidRPr="00F4088D">
              <w:t xml:space="preserve"> the May </w:t>
            </w:r>
            <w:r w:rsidRPr="00F4088D">
              <w:t xml:space="preserve">27 </w:t>
            </w:r>
            <w:r w:rsidR="009E1E36" w:rsidRPr="00F4088D">
              <w:t>meeting.</w:t>
            </w:r>
            <w:r w:rsidRPr="00F4088D">
              <w:t xml:space="preserve"> The d</w:t>
            </w:r>
            <w:r w:rsidR="009E1E36" w:rsidRPr="00F4088D">
              <w:t xml:space="preserve">eadline for the final GAC submission </w:t>
            </w:r>
            <w:r w:rsidRPr="00F4088D">
              <w:t>to make the May agenda</w:t>
            </w:r>
            <w:r w:rsidR="009E1E36" w:rsidRPr="00F4088D">
              <w:t xml:space="preserve"> is May 13.</w:t>
            </w:r>
          </w:p>
          <w:p w14:paraId="1B111251" w14:textId="09557FC4" w:rsidR="005451DA" w:rsidRPr="00F4088D" w:rsidRDefault="005451DA" w:rsidP="007E18E2">
            <w:pPr>
              <w:pStyle w:val="Standard1"/>
            </w:pPr>
          </w:p>
        </w:tc>
        <w:tc>
          <w:tcPr>
            <w:tcW w:w="1350" w:type="dxa"/>
          </w:tcPr>
          <w:p w14:paraId="78F8682B" w14:textId="77777777" w:rsidR="001276C3" w:rsidRPr="00F4088D" w:rsidRDefault="001276C3" w:rsidP="006C578B">
            <w:pPr>
              <w:pStyle w:val="Standard1"/>
              <w:tabs>
                <w:tab w:val="left" w:pos="72"/>
              </w:tabs>
              <w:jc w:val="right"/>
            </w:pPr>
            <w:r w:rsidRPr="00F4088D">
              <w:t>Henry</w:t>
            </w:r>
          </w:p>
        </w:tc>
      </w:tr>
      <w:tr w:rsidR="001276C3" w:rsidRPr="00F4088D" w14:paraId="7BB340D7" w14:textId="77777777" w:rsidTr="008D5847">
        <w:tc>
          <w:tcPr>
            <w:tcW w:w="9828" w:type="dxa"/>
          </w:tcPr>
          <w:p w14:paraId="486A4CB7" w14:textId="77777777" w:rsidR="001276C3" w:rsidRPr="00F4088D" w:rsidRDefault="001276C3" w:rsidP="006C578B">
            <w:pPr>
              <w:pStyle w:val="Standard1"/>
            </w:pPr>
            <w:r w:rsidRPr="00F4088D">
              <w:t>Committee Reports</w:t>
            </w:r>
          </w:p>
        </w:tc>
        <w:tc>
          <w:tcPr>
            <w:tcW w:w="1350" w:type="dxa"/>
          </w:tcPr>
          <w:p w14:paraId="310DDBBA" w14:textId="77777777" w:rsidR="001276C3" w:rsidRPr="00F4088D" w:rsidRDefault="001276C3" w:rsidP="006C578B">
            <w:pPr>
              <w:pStyle w:val="Standard1"/>
              <w:tabs>
                <w:tab w:val="left" w:pos="72"/>
              </w:tabs>
              <w:jc w:val="right"/>
            </w:pPr>
          </w:p>
        </w:tc>
      </w:tr>
      <w:tr w:rsidR="001276C3" w:rsidRPr="00F4088D" w14:paraId="1EB1E90B" w14:textId="77777777" w:rsidTr="008D5847">
        <w:tc>
          <w:tcPr>
            <w:tcW w:w="9828" w:type="dxa"/>
          </w:tcPr>
          <w:p w14:paraId="1F5F2F4B" w14:textId="77777777" w:rsidR="001276C3" w:rsidRPr="00F4088D" w:rsidRDefault="001276C3" w:rsidP="006C578B">
            <w:pPr>
              <w:pStyle w:val="Standard1"/>
              <w:ind w:left="720"/>
            </w:pPr>
            <w:r w:rsidRPr="00F4088D">
              <w:t>Fellowship Subcommittee Report</w:t>
            </w:r>
          </w:p>
          <w:p w14:paraId="22D84FEA" w14:textId="250F18BC" w:rsidR="009D3B12" w:rsidRPr="00F4088D" w:rsidRDefault="009D3B12" w:rsidP="009D3B12">
            <w:pPr>
              <w:pStyle w:val="Standard1"/>
              <w:ind w:left="720"/>
            </w:pPr>
            <w:r w:rsidRPr="00F4088D">
              <w:t>University Fellowship and Inclusive Excellence Fellowship</w:t>
            </w:r>
            <w:r w:rsidR="00702AE0" w:rsidRPr="003F0F1C">
              <w:t xml:space="preserve"> </w:t>
            </w:r>
            <w:r w:rsidRPr="003F0F1C">
              <w:t>offers</w:t>
            </w:r>
            <w:r w:rsidR="00702AE0" w:rsidRPr="003F0F1C">
              <w:t xml:space="preserve"> </w:t>
            </w:r>
            <w:r w:rsidRPr="00F4088D">
              <w:t>have been sent - responses are due by April 15.</w:t>
            </w:r>
          </w:p>
          <w:p w14:paraId="5F7E941B" w14:textId="52FDDC3F" w:rsidR="009D3B12" w:rsidRPr="00F4088D" w:rsidRDefault="009D3B12" w:rsidP="009D3B12">
            <w:pPr>
              <w:pStyle w:val="Standard1"/>
              <w:ind w:left="720"/>
            </w:pPr>
            <w:r w:rsidRPr="00F4088D">
              <w:t>The Inclusive Excellence Dissertation Fellowship is due April 21</w:t>
            </w:r>
            <w:r w:rsidRPr="00F4088D">
              <w:rPr>
                <w:vertAlign w:val="superscript"/>
              </w:rPr>
              <w:t>st</w:t>
            </w:r>
          </w:p>
          <w:p w14:paraId="5A511F73" w14:textId="6FF72DE2" w:rsidR="009D3B12" w:rsidRPr="00F4088D" w:rsidRDefault="009D3B12" w:rsidP="00F06123">
            <w:pPr>
              <w:pStyle w:val="Standard1"/>
              <w:ind w:left="720"/>
            </w:pPr>
            <w:r w:rsidRPr="00F4088D">
              <w:t>Distinguished PhD Dissertation Award is due April 28th – categories include Biological/Life Sciences and Humanities</w:t>
            </w:r>
          </w:p>
          <w:p w14:paraId="26CB62E1" w14:textId="4397C375" w:rsidR="005451DA" w:rsidRPr="00F4088D" w:rsidRDefault="005451DA" w:rsidP="00F06123">
            <w:pPr>
              <w:pStyle w:val="Standard1"/>
              <w:ind w:left="720"/>
            </w:pPr>
          </w:p>
        </w:tc>
        <w:tc>
          <w:tcPr>
            <w:tcW w:w="1350" w:type="dxa"/>
          </w:tcPr>
          <w:p w14:paraId="639D256E" w14:textId="77777777" w:rsidR="001276C3" w:rsidRPr="00F4088D" w:rsidRDefault="001276C3" w:rsidP="006C578B">
            <w:pPr>
              <w:pStyle w:val="Standard1"/>
              <w:tabs>
                <w:tab w:val="left" w:pos="72"/>
              </w:tabs>
              <w:jc w:val="right"/>
            </w:pPr>
            <w:r w:rsidRPr="00F4088D">
              <w:t>Henry</w:t>
            </w:r>
          </w:p>
        </w:tc>
      </w:tr>
      <w:tr w:rsidR="001276C3" w:rsidRPr="00F4088D" w14:paraId="2D287245" w14:textId="77777777" w:rsidTr="008D5847">
        <w:tc>
          <w:tcPr>
            <w:tcW w:w="9828" w:type="dxa"/>
          </w:tcPr>
          <w:p w14:paraId="58A4DC01" w14:textId="77777777" w:rsidR="001276C3" w:rsidRPr="00F4088D" w:rsidRDefault="001276C3" w:rsidP="006C578B">
            <w:pPr>
              <w:pStyle w:val="Standard1"/>
              <w:ind w:left="720"/>
            </w:pPr>
            <w:r w:rsidRPr="00F4088D">
              <w:t>Curriculum Subcommittee Report</w:t>
            </w:r>
          </w:p>
          <w:p w14:paraId="1C92FF63" w14:textId="3C3FB8F0" w:rsidR="00F06123" w:rsidRPr="00F4088D" w:rsidRDefault="00F06123" w:rsidP="00F06123">
            <w:pPr>
              <w:pStyle w:val="Standard1"/>
              <w:ind w:left="720"/>
            </w:pPr>
            <w:r w:rsidRPr="00F4088D">
              <w:t xml:space="preserve">The curriculum committee review 15 courses this month. Seven were new courses and </w:t>
            </w:r>
            <w:r w:rsidR="003F0F1C">
              <w:t>eight</w:t>
            </w:r>
            <w:r w:rsidRPr="00F4088D">
              <w:t xml:space="preserve"> were course changes. The committee approved </w:t>
            </w:r>
            <w:r w:rsidR="003F0F1C">
              <w:t>four</w:t>
            </w:r>
            <w:r w:rsidRPr="00F4088D">
              <w:t xml:space="preserve"> courses, approved </w:t>
            </w:r>
            <w:r w:rsidR="003F0F1C">
              <w:t>four</w:t>
            </w:r>
            <w:r w:rsidRPr="00F4088D">
              <w:t xml:space="preserve"> courses contingent upon some minor edits, and didn’t approve </w:t>
            </w:r>
            <w:r w:rsidR="003F0F1C">
              <w:t>seven</w:t>
            </w:r>
            <w:r w:rsidRPr="00F4088D">
              <w:t xml:space="preserve"> courses. The next meeting will be in April.</w:t>
            </w:r>
          </w:p>
          <w:p w14:paraId="6B1934F5" w14:textId="4B441F72" w:rsidR="00F06123" w:rsidRPr="00F4088D" w:rsidRDefault="00F06123" w:rsidP="00F06123">
            <w:pPr>
              <w:pStyle w:val="Standard1"/>
              <w:ind w:left="720"/>
            </w:pPr>
            <w:r w:rsidRPr="00F4088D">
              <w:t xml:space="preserve">There are only two more curriculum committee meetings – April and May. The last day for courses to be considered </w:t>
            </w:r>
            <w:r w:rsidR="003F0F1C">
              <w:t xml:space="preserve">for </w:t>
            </w:r>
            <w:r w:rsidRPr="00F4088D">
              <w:t>this academic year is April 30 after which the committee is on hiatus until the September meeting.</w:t>
            </w:r>
          </w:p>
          <w:p w14:paraId="2A461D0B" w14:textId="63C62574" w:rsidR="005451DA" w:rsidRPr="00F4088D" w:rsidRDefault="005451DA" w:rsidP="00F06123">
            <w:pPr>
              <w:pStyle w:val="Standard1"/>
              <w:ind w:left="720"/>
            </w:pPr>
          </w:p>
        </w:tc>
        <w:tc>
          <w:tcPr>
            <w:tcW w:w="1350" w:type="dxa"/>
          </w:tcPr>
          <w:p w14:paraId="5ED504DD" w14:textId="77777777" w:rsidR="001276C3" w:rsidRPr="00F4088D" w:rsidRDefault="001276C3" w:rsidP="006C578B">
            <w:pPr>
              <w:pStyle w:val="Standard1"/>
              <w:tabs>
                <w:tab w:val="left" w:pos="72"/>
              </w:tabs>
              <w:jc w:val="right"/>
            </w:pPr>
            <w:r w:rsidRPr="00F4088D">
              <w:t xml:space="preserve">Klemsz </w:t>
            </w:r>
          </w:p>
        </w:tc>
      </w:tr>
      <w:tr w:rsidR="001276C3" w:rsidRPr="00F4088D" w14:paraId="794208D9" w14:textId="77777777" w:rsidTr="008D5847">
        <w:tc>
          <w:tcPr>
            <w:tcW w:w="9828" w:type="dxa"/>
          </w:tcPr>
          <w:p w14:paraId="66F836D5" w14:textId="77777777" w:rsidR="001276C3" w:rsidRPr="00F4088D" w:rsidRDefault="001276C3" w:rsidP="006C578B">
            <w:pPr>
              <w:pStyle w:val="Standard1"/>
              <w:ind w:left="720"/>
            </w:pPr>
            <w:r w:rsidRPr="00F4088D">
              <w:t>Graduate Recruitment Council Report</w:t>
            </w:r>
          </w:p>
          <w:p w14:paraId="23E7254A" w14:textId="6962F338" w:rsidR="009D3B12" w:rsidRPr="00F4088D" w:rsidRDefault="009D3B12" w:rsidP="009D3B12">
            <w:pPr>
              <w:pStyle w:val="Standard1"/>
              <w:ind w:left="720"/>
            </w:pPr>
            <w:r w:rsidRPr="00F4088D">
              <w:t xml:space="preserve">The </w:t>
            </w:r>
            <w:r w:rsidRPr="003F0F1C">
              <w:rPr>
                <w:i/>
                <w:iCs/>
              </w:rPr>
              <w:t>4</w:t>
            </w:r>
            <w:r w:rsidRPr="003F0F1C">
              <w:rPr>
                <w:i/>
                <w:iCs/>
                <w:vertAlign w:val="superscript"/>
              </w:rPr>
              <w:t>th</w:t>
            </w:r>
            <w:r w:rsidRPr="003F0F1C">
              <w:rPr>
                <w:i/>
                <w:iCs/>
              </w:rPr>
              <w:t> annual Graduate Student Honors Celebration</w:t>
            </w:r>
            <w:r w:rsidRPr="00F4088D">
              <w:t xml:space="preserve"> will be held on April 17 from 3:30-5 p.m. in CE 409. </w:t>
            </w:r>
          </w:p>
          <w:p w14:paraId="5C93991F" w14:textId="14199A04" w:rsidR="009D3B12" w:rsidRPr="00F4088D" w:rsidRDefault="009D3B12" w:rsidP="009D3B12">
            <w:pPr>
              <w:pStyle w:val="Standard1"/>
              <w:ind w:left="720"/>
            </w:pPr>
            <w:r w:rsidRPr="00F4088D">
              <w:t xml:space="preserve">The next Graduate Recruitment Council Meeting is April 16 from 12-1 p.m. in UL 1116. </w:t>
            </w:r>
          </w:p>
          <w:p w14:paraId="2566263C" w14:textId="28FC9706" w:rsidR="009D3B12" w:rsidRPr="00F4088D" w:rsidRDefault="009D3B12" w:rsidP="009D3B12">
            <w:pPr>
              <w:pStyle w:val="Standard1"/>
              <w:ind w:left="720"/>
            </w:pPr>
            <w:r w:rsidRPr="00F4088D">
              <w:t xml:space="preserve">Several prospective graduate student events are coming up including the virtual </w:t>
            </w:r>
            <w:r w:rsidRPr="003F0F1C">
              <w:rPr>
                <w:i/>
                <w:iCs/>
              </w:rPr>
              <w:t>The Secrets of Graduate Admissions Speed Sessions</w:t>
            </w:r>
            <w:r w:rsidRPr="00F4088D">
              <w:t xml:space="preserve"> (March 26).</w:t>
            </w:r>
          </w:p>
          <w:p w14:paraId="6078E8F3" w14:textId="77777777" w:rsidR="009D3B12" w:rsidRPr="00F4088D" w:rsidRDefault="009D3B12" w:rsidP="00F06123">
            <w:pPr>
              <w:pStyle w:val="Standard1"/>
              <w:ind w:left="720"/>
            </w:pPr>
            <w:r w:rsidRPr="00F4088D">
              <w:t xml:space="preserve">The Graduate School also holds virtual </w:t>
            </w:r>
            <w:r w:rsidRPr="003F0F1C">
              <w:rPr>
                <w:i/>
                <w:iCs/>
              </w:rPr>
              <w:t>Information Sessions</w:t>
            </w:r>
            <w:r w:rsidRPr="00F4088D">
              <w:t xml:space="preserve"> for prospective graduate students every month. April sessions will be held on April 15 and April 30.</w:t>
            </w:r>
          </w:p>
          <w:p w14:paraId="03B48EB2" w14:textId="3032440F" w:rsidR="005451DA" w:rsidRPr="00F4088D" w:rsidRDefault="005451DA" w:rsidP="00F06123">
            <w:pPr>
              <w:pStyle w:val="Standard1"/>
              <w:ind w:left="720"/>
            </w:pPr>
          </w:p>
        </w:tc>
        <w:tc>
          <w:tcPr>
            <w:tcW w:w="1350" w:type="dxa"/>
          </w:tcPr>
          <w:p w14:paraId="40D2FD09" w14:textId="77777777" w:rsidR="001276C3" w:rsidRPr="00F4088D" w:rsidRDefault="001276C3" w:rsidP="006C578B">
            <w:pPr>
              <w:pStyle w:val="Standard1"/>
              <w:tabs>
                <w:tab w:val="left" w:pos="72"/>
              </w:tabs>
              <w:jc w:val="right"/>
            </w:pPr>
            <w:r w:rsidRPr="00F4088D">
              <w:t>Mahoney</w:t>
            </w:r>
          </w:p>
        </w:tc>
      </w:tr>
      <w:tr w:rsidR="00745ABA" w:rsidRPr="00F4088D" w14:paraId="7D5B77CC" w14:textId="77777777" w:rsidTr="008D5847">
        <w:tc>
          <w:tcPr>
            <w:tcW w:w="9828" w:type="dxa"/>
          </w:tcPr>
          <w:p w14:paraId="347CE887" w14:textId="4CC9700A" w:rsidR="00745ABA" w:rsidRPr="00F4088D" w:rsidRDefault="00745ABA" w:rsidP="00745ABA">
            <w:pPr>
              <w:pStyle w:val="Standard1"/>
              <w:rPr>
                <w:i/>
                <w:iCs/>
              </w:rPr>
            </w:pPr>
            <w:r w:rsidRPr="00F4088D">
              <w:lastRenderedPageBreak/>
              <w:t>Discussion:</w:t>
            </w:r>
            <w:r w:rsidR="00A46A97" w:rsidRPr="00F4088D">
              <w:t xml:space="preserve"> </w:t>
            </w:r>
            <w:r w:rsidR="006E0CAE" w:rsidRPr="00F4088D">
              <w:rPr>
                <w:i/>
                <w:iCs/>
              </w:rPr>
              <w:t>Review and Approval Process for New IU Graduate and Professional Student Degree and Certificate Programs</w:t>
            </w:r>
            <w:r w:rsidRPr="00F4088D">
              <w:rPr>
                <w:i/>
                <w:iCs/>
              </w:rPr>
              <w:t xml:space="preserve"> </w:t>
            </w:r>
          </w:p>
          <w:p w14:paraId="0844AAD5" w14:textId="43F48F9D" w:rsidR="006E0CAE" w:rsidRPr="00F4088D" w:rsidRDefault="006E0CAE" w:rsidP="006E0CAE">
            <w:pPr>
              <w:pStyle w:val="Standard1"/>
            </w:pPr>
            <w:r w:rsidRPr="00F4088D">
              <w:t>Proposals for new degrees and certificates should be developed by a unit following the state guide. A preproposal and later full proposal should be vetted and approved within the sponsoring unit or school as a first step. State and campus forms, plus guidance at: Graduate School curriculum and programs.</w:t>
            </w:r>
          </w:p>
          <w:p w14:paraId="07E2AC5D" w14:textId="52AC5A5E" w:rsidR="00F55699" w:rsidRPr="00F4088D" w:rsidRDefault="006E0CAE" w:rsidP="006E0CAE">
            <w:pPr>
              <w:pStyle w:val="Standard1"/>
            </w:pPr>
            <w:r w:rsidRPr="00F4088D">
              <w:t>For new degree and stand-alone certificate programs a preproposal is required by the campus. A market analysis of the program is needed. Information on market potential should be discussed in the preproposal and the full proposal. The preproposal is shared with the Provost, the Chancellor and the IU President for review. Once the unit is notified that the preproposal is approved, finalization of a full proposal should be started.</w:t>
            </w:r>
          </w:p>
          <w:p w14:paraId="03459BDF" w14:textId="093D0D7E" w:rsidR="006E0CAE" w:rsidRPr="00F4088D" w:rsidRDefault="006E0CAE" w:rsidP="006E0CAE">
            <w:pPr>
              <w:pStyle w:val="Standard1"/>
            </w:pPr>
            <w:r w:rsidRPr="00F4088D">
              <w:t>If the program will be offered hybrid or fully online, a proposal must be submitted to IU Office of Online Education. Once approved, the unit can work to complete and submit a full proposal.</w:t>
            </w:r>
          </w:p>
          <w:p w14:paraId="2079682B" w14:textId="77777777" w:rsidR="006E0CAE" w:rsidRPr="00F4088D" w:rsidRDefault="006E0CAE" w:rsidP="006E0CAE">
            <w:pPr>
              <w:pStyle w:val="Standard1"/>
            </w:pPr>
            <w:r w:rsidRPr="00F4088D">
              <w:t>Ensure all new courses or changes to existing courses are approved prior to inclusion in a new degree or certificate proposal.</w:t>
            </w:r>
          </w:p>
          <w:p w14:paraId="6C9E0F44" w14:textId="126FEEEF" w:rsidR="006E0CAE" w:rsidRPr="00D83131" w:rsidRDefault="006E0CAE" w:rsidP="006E0CAE">
            <w:pPr>
              <w:pStyle w:val="Standard1"/>
              <w:rPr>
                <w:color w:val="FF0000"/>
              </w:rPr>
            </w:pPr>
            <w:r w:rsidRPr="00F4088D">
              <w:t>The full proposal for new degree/certificate must be reviewed and approved by the academic units sponsoring the program including departments, schools, and campus. This takes place prior to submission to the Graduate School and Graduate Affairs Committee.</w:t>
            </w:r>
            <w:r w:rsidR="00D83131">
              <w:t xml:space="preserve"> </w:t>
            </w:r>
          </w:p>
          <w:p w14:paraId="10922783" w14:textId="09D1DC0D" w:rsidR="006E0CAE" w:rsidRPr="00F4088D" w:rsidRDefault="006E0CAE" w:rsidP="006E0CAE">
            <w:pPr>
              <w:pStyle w:val="Standard1"/>
            </w:pPr>
            <w:r w:rsidRPr="00F4088D">
              <w:t>For campus approval, submit the proposal to the Graduate Affairs Committee.</w:t>
            </w:r>
            <w:r w:rsidR="00D83131">
              <w:t xml:space="preserve"> </w:t>
            </w:r>
            <w:r w:rsidR="00D83131">
              <w:rPr>
                <w:color w:val="FF0000"/>
              </w:rPr>
              <w:t xml:space="preserve"> </w:t>
            </w:r>
            <w:commentRangeStart w:id="6"/>
            <w:r w:rsidR="00D83131" w:rsidRPr="00DF6FA0">
              <w:rPr>
                <w:i/>
                <w:iCs/>
              </w:rPr>
              <w:t>Update added post meeting: Dr. Ferguson in the Office of Academic Affairs will review all full proposals prior to the start of the review process by the GAC or UAC.</w:t>
            </w:r>
            <w:commentRangeEnd w:id="6"/>
            <w:r w:rsidR="00D83131">
              <w:rPr>
                <w:rStyle w:val="CommentReference"/>
              </w:rPr>
              <w:commentReference w:id="6"/>
            </w:r>
          </w:p>
          <w:p w14:paraId="63B9EBA3" w14:textId="77777777" w:rsidR="006E0CAE" w:rsidRPr="00F4088D" w:rsidRDefault="006E0CAE" w:rsidP="006E0CAE">
            <w:pPr>
              <w:pStyle w:val="Standard1"/>
            </w:pPr>
            <w:r w:rsidRPr="00F4088D">
              <w:t xml:space="preserve">For Indianapolis, Columbus, and Ft. Wayne, the campus review takes place through the Graduate Affairs Committee (GAC). </w:t>
            </w:r>
          </w:p>
          <w:p w14:paraId="6E91C512" w14:textId="1B66BFC1" w:rsidR="006E0CAE" w:rsidRPr="00F4088D" w:rsidRDefault="006E0CAE" w:rsidP="006E0CAE">
            <w:pPr>
              <w:pStyle w:val="Standard1"/>
            </w:pPr>
            <w:r w:rsidRPr="00F4088D">
              <w:t>Consult with the Graduate School Dean, Associate Dean, or Dezra Despain with questions prior to submission. Provide names/contact info of potential external reviewers for the GAC review more than one month in advance of the review meeting.</w:t>
            </w:r>
          </w:p>
          <w:p w14:paraId="23B41DD2" w14:textId="4123399E" w:rsidR="006E0CAE" w:rsidRPr="00F4088D" w:rsidRDefault="00A46A97" w:rsidP="006E0CAE">
            <w:pPr>
              <w:pStyle w:val="Standard1"/>
            </w:pPr>
            <w:r w:rsidRPr="00F4088D">
              <w:t>N</w:t>
            </w:r>
            <w:r w:rsidR="006E0CAE" w:rsidRPr="00F4088D">
              <w:t>ew proposals are sent to external reviewers as well as select GAC members to gather comments on importance of proposed new program, market potential, and quality of proposal.</w:t>
            </w:r>
            <w:r w:rsidRPr="00F4088D">
              <w:t xml:space="preserve"> </w:t>
            </w:r>
            <w:r w:rsidR="006E0CAE" w:rsidRPr="00F4088D">
              <w:t>The proposals under review are typically shared in a Teams folder at least one week prior to the GAC meeting.</w:t>
            </w:r>
          </w:p>
          <w:p w14:paraId="6E636654" w14:textId="77777777" w:rsidR="006E0CAE" w:rsidRPr="00F4088D" w:rsidRDefault="006E0CAE" w:rsidP="006E0CAE">
            <w:pPr>
              <w:pStyle w:val="Standard1"/>
            </w:pPr>
            <w:r w:rsidRPr="00F4088D">
              <w:t xml:space="preserve">Comments from reviewers are considered by the Graduate School Dean and Associate Dean in advance of the GAC meeting. If the reviews are overall positive, the proposal will be listed on the GAC agenda briefly summarized at the meeting with call for a vote. </w:t>
            </w:r>
          </w:p>
          <w:p w14:paraId="40E9BE89" w14:textId="7CCE45D3" w:rsidR="006E0CAE" w:rsidRPr="00F4088D" w:rsidRDefault="006E0CAE" w:rsidP="006E0CAE">
            <w:pPr>
              <w:pStyle w:val="Standard1"/>
            </w:pPr>
            <w:r w:rsidRPr="00F4088D">
              <w:t>If straightforward changes were recommended by the reviewers to improve the proposal, these will be shared with the faculty and staff responsible for the original submission.</w:t>
            </w:r>
            <w:r w:rsidR="00A46A97" w:rsidRPr="00F4088D">
              <w:t xml:space="preserve"> </w:t>
            </w:r>
            <w:r w:rsidRPr="00F4088D">
              <w:t>revisions are requested prior to the formal GAC meeting. If changes are not possible the proposal can be pulled from the agenda to allow time for revisions. A discussion will be held at the next GAC meeting with a call for a vote on the revised proposal for approval or revision.</w:t>
            </w:r>
          </w:p>
          <w:p w14:paraId="4017F313" w14:textId="5A2128B9" w:rsidR="006E0CAE" w:rsidRPr="00F4088D" w:rsidRDefault="006E0CAE" w:rsidP="006E0CAE">
            <w:pPr>
              <w:pStyle w:val="Standard1"/>
            </w:pPr>
            <w:r w:rsidRPr="00F4088D">
              <w:t>If more significant issues were identified by reviewers, Graduate School will alert the submitting unit.</w:t>
            </w:r>
            <w:r w:rsidR="00A46A97" w:rsidRPr="00F4088D">
              <w:t xml:space="preserve"> </w:t>
            </w:r>
            <w:r w:rsidRPr="00F4088D">
              <w:t>The unit can pull back the proposal for revisions and resubmit to better align with the reviewers’ comments and to offer revisions. Resubmission with revisions can be submitted for review and discussion at a future GAC meeting.</w:t>
            </w:r>
          </w:p>
          <w:p w14:paraId="676A50AD" w14:textId="77777777" w:rsidR="006E0CAE" w:rsidRPr="00F4088D" w:rsidRDefault="006E0CAE" w:rsidP="006E0CAE">
            <w:pPr>
              <w:pStyle w:val="Standard1"/>
            </w:pPr>
            <w:r w:rsidRPr="00F4088D">
              <w:t>Alternatively, if the unit insists, Graduate School leaders will call for a discussion and vote on the proposal with potential concerns at a GAC meeting. In these cases, the committee can offer more comments towards improving the proposal or vote to decline or approve. A consensus by the committee is needed to approve a proposal for the campus.</w:t>
            </w:r>
          </w:p>
          <w:p w14:paraId="288C2B59" w14:textId="524D3029" w:rsidR="006E0CAE" w:rsidRPr="00F4088D" w:rsidRDefault="006E0CAE" w:rsidP="006E0CAE">
            <w:pPr>
              <w:pStyle w:val="Standard1"/>
            </w:pPr>
            <w:r w:rsidRPr="00F4088D">
              <w:t>Proposals for new degrees and certificates following GAC review are uploaded into the IU APPEAR platform. This routes the proposal to the Academic Leadership Council (ALC).</w:t>
            </w:r>
          </w:p>
          <w:p w14:paraId="2467BACB" w14:textId="77777777" w:rsidR="006E0CAE" w:rsidRPr="00F4088D" w:rsidRDefault="006E0CAE" w:rsidP="006E0CAE">
            <w:pPr>
              <w:pStyle w:val="Standard1"/>
            </w:pPr>
            <w:r w:rsidRPr="00F4088D">
              <w:t>The proposal is then evaluated by IU following the pathway outlined in the General Matrix for Academic Approval.</w:t>
            </w:r>
          </w:p>
          <w:p w14:paraId="2E0A5141" w14:textId="77777777" w:rsidR="006E0CAE" w:rsidRPr="00F4088D" w:rsidRDefault="006E0CAE" w:rsidP="006E0CAE">
            <w:pPr>
              <w:pStyle w:val="Standard1"/>
            </w:pPr>
            <w:r w:rsidRPr="00F4088D">
              <w:t>At the ALC, the proposal is first reviewed by the Tech Committee. If information on enrollment and finances are correct, the proposal moves on to the Academic Leadership Council for review. The proposal next travels to the University Administration and the President’s Office for consideration. After approval at these stages, the proposal moves to the IU Board of Trustees.</w:t>
            </w:r>
          </w:p>
          <w:p w14:paraId="21DFDFC0" w14:textId="0E433722" w:rsidR="006E0CAE" w:rsidRPr="00F4088D" w:rsidRDefault="006E0CAE" w:rsidP="006E0CAE">
            <w:pPr>
              <w:pStyle w:val="Standard1"/>
            </w:pPr>
            <w:r w:rsidRPr="00F4088D">
              <w:t>Following IU approval, new degrees proposals go to the Indiana Commission on Higher Education.</w:t>
            </w:r>
            <w:r w:rsidR="00A46A97" w:rsidRPr="00F4088D">
              <w:t xml:space="preserve"> </w:t>
            </w:r>
            <w:r w:rsidRPr="00F4088D">
              <w:t>The proposal is reviewed, and comments shared back with IU and the submitting unit(s).</w:t>
            </w:r>
            <w:r w:rsidR="00A46A97" w:rsidRPr="00F4088D">
              <w:t xml:space="preserve"> </w:t>
            </w:r>
            <w:r w:rsidRPr="00F4088D">
              <w:t>A virtual meeting is scheduled with the ICHE reviewers to discuss the new proposal. If the proposal is found to be solid and of merit, the next step is an expediated review before the full state commission (in person and virtual). The state is notified of all new degrees and certificates.​</w:t>
            </w:r>
          </w:p>
          <w:p w14:paraId="46505F13" w14:textId="77777777" w:rsidR="006E0CAE" w:rsidRPr="00F4088D" w:rsidRDefault="006E0CAE" w:rsidP="006E0CAE">
            <w:pPr>
              <w:pStyle w:val="Standard1"/>
            </w:pPr>
            <w:r w:rsidRPr="00F4088D">
              <w:t>New degrees and credentials are then routed to the Higher Learning Commission for notification</w:t>
            </w:r>
          </w:p>
          <w:p w14:paraId="1490583D" w14:textId="5EC838C1" w:rsidR="006E0CAE" w:rsidRPr="00F4088D" w:rsidRDefault="006E0CAE" w:rsidP="006E0CAE">
            <w:pPr>
              <w:pStyle w:val="Standard1"/>
            </w:pPr>
            <w:r w:rsidRPr="00F4088D">
              <w:t>Steps at the Indiana Commission on Higher Education (ICHE). An in-depth review is typically only conducted for new degrees, while other proposals may be expedited for approval. The ICHE form at IU Graduate School Indianapolis should be used to prepare a proposal. This form lays out some of the questions the state reviewers and commissioners may later ask at the formal review meetings.</w:t>
            </w:r>
          </w:p>
          <w:p w14:paraId="0095DF00" w14:textId="4A435720" w:rsidR="006E0CAE" w:rsidRPr="00F4088D" w:rsidRDefault="006E0CAE" w:rsidP="006E0CAE">
            <w:pPr>
              <w:pStyle w:val="Standard1"/>
            </w:pPr>
            <w:r w:rsidRPr="00F4088D">
              <w:t>There are two phases to the state review. Staff review and commissioners’ review.</w:t>
            </w:r>
          </w:p>
          <w:p w14:paraId="3F931A9A" w14:textId="77777777" w:rsidR="006E0CAE" w:rsidRPr="00F4088D" w:rsidRDefault="006E0CAE" w:rsidP="006E0CAE">
            <w:pPr>
              <w:pStyle w:val="Standard1"/>
            </w:pPr>
            <w:r w:rsidRPr="00F4088D">
              <w:lastRenderedPageBreak/>
              <w:t>IU is providing more guidance on this process through Dr. Ferguson in Academic Affairs and the Graduate School as needed.</w:t>
            </w:r>
          </w:p>
          <w:p w14:paraId="30BA1ABC" w14:textId="606C2A02" w:rsidR="006E0CAE" w:rsidRPr="00F4088D" w:rsidRDefault="006E0CAE" w:rsidP="006E0CAE">
            <w:pPr>
              <w:pStyle w:val="Standard1"/>
            </w:pPr>
            <w:r w:rsidRPr="00F4088D">
              <w:t>Staff in the commission will review the proposal and provide 1-2 pages of specific questions related to the new degree and its implementation. This determines if the proposal will move to the commissioners for review. Questions often touch on:</w:t>
            </w:r>
          </w:p>
          <w:p w14:paraId="1CB4EDD2" w14:textId="171A3ED8" w:rsidR="006E0CAE" w:rsidRPr="00F4088D" w:rsidRDefault="006E0CAE" w:rsidP="007F7435">
            <w:pPr>
              <w:pStyle w:val="Standard1"/>
              <w:numPr>
                <w:ilvl w:val="0"/>
                <w:numId w:val="13"/>
              </w:numPr>
            </w:pPr>
            <w:r w:rsidRPr="00F4088D">
              <w:t>Connections/relevance to state workforce/industry/business/non-profits</w:t>
            </w:r>
          </w:p>
          <w:p w14:paraId="7B7EC3C4" w14:textId="231F14DB" w:rsidR="006E0CAE" w:rsidRPr="00F4088D" w:rsidRDefault="006E0CAE" w:rsidP="007F7435">
            <w:pPr>
              <w:pStyle w:val="Standard1"/>
              <w:numPr>
                <w:ilvl w:val="0"/>
                <w:numId w:val="13"/>
              </w:numPr>
            </w:pPr>
            <w:r w:rsidRPr="00F4088D">
              <w:t>Connections/relevance to school alumni and the community</w:t>
            </w:r>
          </w:p>
          <w:p w14:paraId="4A27E769" w14:textId="7A6FE02F" w:rsidR="006E0CAE" w:rsidRPr="00F4088D" w:rsidRDefault="006E0CAE" w:rsidP="007F7435">
            <w:pPr>
              <w:pStyle w:val="Standard1"/>
              <w:numPr>
                <w:ilvl w:val="0"/>
                <w:numId w:val="13"/>
              </w:numPr>
            </w:pPr>
            <w:r w:rsidRPr="00F4088D">
              <w:t>Is there a potential for stacking (crediting) credentials towards the degree</w:t>
            </w:r>
          </w:p>
          <w:p w14:paraId="3C60E066" w14:textId="30F867FB" w:rsidR="006E0CAE" w:rsidRPr="00F4088D" w:rsidRDefault="006E0CAE" w:rsidP="007F7435">
            <w:pPr>
              <w:pStyle w:val="Standard1"/>
              <w:numPr>
                <w:ilvl w:val="0"/>
                <w:numId w:val="13"/>
              </w:numPr>
            </w:pPr>
            <w:r w:rsidRPr="00F4088D">
              <w:t>Opportunities for student internships, student projects with partner organizations, and ties to other local or state collaborators</w:t>
            </w:r>
          </w:p>
          <w:p w14:paraId="2D22F10A" w14:textId="44B9DA3B" w:rsidR="006E0CAE" w:rsidRPr="00F4088D" w:rsidRDefault="006E0CAE" w:rsidP="007F7435">
            <w:pPr>
              <w:pStyle w:val="Standard1"/>
              <w:numPr>
                <w:ilvl w:val="0"/>
                <w:numId w:val="13"/>
              </w:numPr>
            </w:pPr>
            <w:r w:rsidRPr="00F4088D">
              <w:t>Potential for 4+1 accelerated programs to feed into our master’s programs</w:t>
            </w:r>
          </w:p>
          <w:p w14:paraId="1A4CDFB8" w14:textId="28F5DF4E" w:rsidR="006E0CAE" w:rsidRPr="00F4088D" w:rsidRDefault="006E0CAE" w:rsidP="007F7435">
            <w:pPr>
              <w:pStyle w:val="Standard1"/>
              <w:numPr>
                <w:ilvl w:val="0"/>
                <w:numId w:val="13"/>
              </w:numPr>
            </w:pPr>
            <w:r w:rsidRPr="00F4088D">
              <w:t>CPL, credit for prior learning</w:t>
            </w:r>
          </w:p>
          <w:p w14:paraId="13474247" w14:textId="77777777" w:rsidR="006E0CAE" w:rsidRPr="00F4088D" w:rsidRDefault="006E0CAE" w:rsidP="006E0CAE">
            <w:pPr>
              <w:pStyle w:val="Standard1"/>
            </w:pPr>
            <w:r w:rsidRPr="00F4088D">
              <w:t>PowerPoint slides detailing the process is available for GAC members to review and share with their units.</w:t>
            </w:r>
          </w:p>
          <w:p w14:paraId="169345BD" w14:textId="361807FB" w:rsidR="005451DA" w:rsidRPr="00F4088D" w:rsidRDefault="005451DA" w:rsidP="006E0CAE">
            <w:pPr>
              <w:pStyle w:val="Standard1"/>
            </w:pPr>
          </w:p>
        </w:tc>
        <w:tc>
          <w:tcPr>
            <w:tcW w:w="1350" w:type="dxa"/>
          </w:tcPr>
          <w:p w14:paraId="2AE70FF2" w14:textId="1C4989A4" w:rsidR="00745ABA" w:rsidRPr="00F4088D" w:rsidRDefault="00745ABA" w:rsidP="006C578B">
            <w:pPr>
              <w:pStyle w:val="Standard1"/>
              <w:tabs>
                <w:tab w:val="left" w:pos="72"/>
              </w:tabs>
              <w:jc w:val="right"/>
            </w:pPr>
            <w:r w:rsidRPr="00F4088D">
              <w:lastRenderedPageBreak/>
              <w:t>Blum/ Ferguson</w:t>
            </w:r>
          </w:p>
        </w:tc>
      </w:tr>
      <w:tr w:rsidR="001276C3" w:rsidRPr="00F4088D" w14:paraId="704A630D" w14:textId="77777777" w:rsidTr="008D5847">
        <w:tc>
          <w:tcPr>
            <w:tcW w:w="9828" w:type="dxa"/>
          </w:tcPr>
          <w:p w14:paraId="30ED997D" w14:textId="401D37FE" w:rsidR="001276C3" w:rsidRPr="00F4088D" w:rsidRDefault="001276C3" w:rsidP="006C578B">
            <w:pPr>
              <w:pStyle w:val="Standard1"/>
            </w:pPr>
            <w:r w:rsidRPr="00F4088D">
              <w:t>Consent Agenda</w:t>
            </w:r>
            <w:r w:rsidR="007E18E2" w:rsidRPr="00F4088D">
              <w:t xml:space="preserve"> – all approved</w:t>
            </w:r>
          </w:p>
          <w:p w14:paraId="1124FB57" w14:textId="77777777" w:rsidR="009133B3" w:rsidRPr="00F4088D" w:rsidRDefault="009133B3" w:rsidP="009133B3">
            <w:pPr>
              <w:pStyle w:val="Standard1"/>
              <w:numPr>
                <w:ilvl w:val="0"/>
                <w:numId w:val="5"/>
              </w:numPr>
            </w:pPr>
            <w:r w:rsidRPr="00F4088D">
              <w:t>PhD in Urban Education Studies to be offered in a 50-79% hybrid format from the School of Education</w:t>
            </w:r>
          </w:p>
          <w:p w14:paraId="52CAE2CA" w14:textId="77777777" w:rsidR="009133B3" w:rsidRPr="00F4088D" w:rsidRDefault="009133B3" w:rsidP="009133B3">
            <w:pPr>
              <w:pStyle w:val="Standard1"/>
              <w:numPr>
                <w:ilvl w:val="0"/>
                <w:numId w:val="5"/>
              </w:numPr>
            </w:pPr>
            <w:r w:rsidRPr="00F4088D">
              <w:t>New PhD minor in Computer Science from the Luddy School of Informatics, Computers, and Engineering</w:t>
            </w:r>
          </w:p>
          <w:p w14:paraId="26261A11" w14:textId="4C6B4356" w:rsidR="001276C3" w:rsidRPr="00F4088D" w:rsidRDefault="009133B3" w:rsidP="009133B3">
            <w:pPr>
              <w:pStyle w:val="Standard1"/>
              <w:numPr>
                <w:ilvl w:val="0"/>
                <w:numId w:val="5"/>
              </w:numPr>
            </w:pPr>
            <w:r w:rsidRPr="00F4088D">
              <w:t>New Global Health Leadership track in the MS in Global Health and Sustainable Development from the Fairbanks School of Public Health</w:t>
            </w:r>
          </w:p>
          <w:p w14:paraId="66FD4C2B" w14:textId="77777777" w:rsidR="001276C3" w:rsidRPr="00F4088D" w:rsidRDefault="00745ABA" w:rsidP="007E18E2">
            <w:pPr>
              <w:pStyle w:val="Standard1"/>
              <w:numPr>
                <w:ilvl w:val="0"/>
                <w:numId w:val="5"/>
              </w:numPr>
            </w:pPr>
            <w:r w:rsidRPr="00F4088D">
              <w:t>Changes to the PhD minor in Life Sciences from the School of Medicine</w:t>
            </w:r>
          </w:p>
          <w:p w14:paraId="1EC2C6DC" w14:textId="3BF9EEDB" w:rsidR="005451DA" w:rsidRPr="00F4088D" w:rsidRDefault="005451DA" w:rsidP="005451DA">
            <w:pPr>
              <w:pStyle w:val="Standard1"/>
            </w:pPr>
          </w:p>
        </w:tc>
        <w:tc>
          <w:tcPr>
            <w:tcW w:w="1350" w:type="dxa"/>
          </w:tcPr>
          <w:p w14:paraId="3153A0BE" w14:textId="77777777" w:rsidR="001276C3" w:rsidRPr="00F4088D" w:rsidRDefault="001276C3" w:rsidP="006C578B">
            <w:pPr>
              <w:pStyle w:val="Standard1"/>
              <w:tabs>
                <w:tab w:val="left" w:pos="72"/>
              </w:tabs>
              <w:jc w:val="right"/>
            </w:pPr>
            <w:r w:rsidRPr="00F4088D">
              <w:t>Blum</w:t>
            </w:r>
          </w:p>
        </w:tc>
      </w:tr>
      <w:tr w:rsidR="00207F42" w:rsidRPr="00F4088D" w14:paraId="145F6188" w14:textId="77777777" w:rsidTr="008D5847">
        <w:tc>
          <w:tcPr>
            <w:tcW w:w="9828" w:type="dxa"/>
          </w:tcPr>
          <w:p w14:paraId="4800D74B" w14:textId="714E975D" w:rsidR="00207F42" w:rsidRPr="00F4088D" w:rsidRDefault="00207F42" w:rsidP="006C578B">
            <w:pPr>
              <w:pStyle w:val="Standard1"/>
            </w:pPr>
            <w:r w:rsidRPr="00F4088D">
              <w:t>Informational Item:</w:t>
            </w:r>
            <w:r w:rsidR="00A46A97" w:rsidRPr="00F4088D">
              <w:t xml:space="preserve"> </w:t>
            </w:r>
            <w:r w:rsidRPr="00F4088D">
              <w:t>On February 25, 2025, the GAC approved a modified proposal for the Addictions Neuroscience program. The Graduate School received the proposal, confirming it met the requested modifications.</w:t>
            </w:r>
          </w:p>
        </w:tc>
        <w:tc>
          <w:tcPr>
            <w:tcW w:w="1350" w:type="dxa"/>
          </w:tcPr>
          <w:p w14:paraId="63502319" w14:textId="77777777" w:rsidR="00207F42" w:rsidRPr="00F4088D" w:rsidRDefault="00207F42" w:rsidP="006C578B">
            <w:pPr>
              <w:pStyle w:val="Standard1"/>
              <w:tabs>
                <w:tab w:val="left" w:pos="72"/>
              </w:tabs>
              <w:jc w:val="right"/>
            </w:pPr>
          </w:p>
        </w:tc>
      </w:tr>
    </w:tbl>
    <w:p w14:paraId="3C94F7D7" w14:textId="77777777" w:rsidR="00604182" w:rsidRPr="00F4088D" w:rsidRDefault="00604182" w:rsidP="006C578B"/>
    <w:p w14:paraId="7E204A73" w14:textId="435E91BA" w:rsidR="001276C3" w:rsidRPr="001276C3" w:rsidRDefault="00604182" w:rsidP="006C578B">
      <w:pPr>
        <w:rPr>
          <w:sz w:val="28"/>
          <w:szCs w:val="28"/>
        </w:rPr>
      </w:pPr>
      <w:r w:rsidRPr="00F4088D">
        <w:t>Next Meeting and Adjournment (</w:t>
      </w:r>
      <w:r w:rsidR="00607FAE" w:rsidRPr="00F4088D">
        <w:rPr>
          <w:b/>
        </w:rPr>
        <w:t>April 29, 2025</w:t>
      </w:r>
      <w:r w:rsidRPr="00F4088D">
        <w:rPr>
          <w:b/>
        </w:rPr>
        <w:t>, 1:30 pm, Zoom</w:t>
      </w:r>
      <w:r w:rsidRPr="00F4088D">
        <w:t>)</w:t>
      </w:r>
    </w:p>
    <w:sectPr w:rsidR="001276C3" w:rsidRPr="001276C3" w:rsidSect="00E7392D">
      <w:type w:val="continuous"/>
      <w:pgSz w:w="12240" w:h="15840" w:code="1"/>
      <w:pgMar w:top="806" w:right="720" w:bottom="245"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lum, Janice S." w:date="2025-04-17T12:24:00Z" w:initials="JB">
    <w:p w14:paraId="66EFDEC3" w14:textId="77777777" w:rsidR="00D83131" w:rsidRDefault="00D83131" w:rsidP="00D83131">
      <w:pPr>
        <w:pStyle w:val="CommentText"/>
      </w:pPr>
      <w:r>
        <w:rPr>
          <w:rStyle w:val="CommentReference"/>
        </w:rPr>
        <w:annotationRef/>
      </w:r>
      <w:r>
        <w:t>Space missing after appreciation</w:t>
      </w:r>
    </w:p>
  </w:comment>
  <w:comment w:id="6" w:author="Blum, Janice S." w:date="2025-04-17T12:28:00Z" w:initials="JB">
    <w:p w14:paraId="6252953D" w14:textId="77777777" w:rsidR="00D83131" w:rsidRDefault="00D83131" w:rsidP="00D83131">
      <w:pPr>
        <w:pStyle w:val="CommentText"/>
      </w:pPr>
      <w:r>
        <w:rPr>
          <w:rStyle w:val="CommentReference"/>
        </w:rPr>
        <w:annotationRef/>
      </w:r>
      <w:r>
        <w:t xml:space="preserve">Let’s add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FDEC3" w15:done="0"/>
  <w15:commentEx w15:paraId="625295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5BE2B6" w16cex:dateUtc="2025-04-17T16:24:00Z"/>
  <w16cex:commentExtensible w16cex:durableId="7C71B6D6" w16cex:dateUtc="2025-04-1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FDEC3" w16cid:durableId="585BE2B6"/>
  <w16cid:commentId w16cid:paraId="6252953D" w16cid:durableId="7C71B6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684"/>
    <w:multiLevelType w:val="hybridMultilevel"/>
    <w:tmpl w:val="221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B3D"/>
    <w:multiLevelType w:val="hybridMultilevel"/>
    <w:tmpl w:val="E43A3B0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8A06546"/>
    <w:multiLevelType w:val="hybridMultilevel"/>
    <w:tmpl w:val="EC7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B5E60"/>
    <w:multiLevelType w:val="hybridMultilevel"/>
    <w:tmpl w:val="91D66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A08FE"/>
    <w:multiLevelType w:val="hybridMultilevel"/>
    <w:tmpl w:val="2F0E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666D0"/>
    <w:multiLevelType w:val="hybridMultilevel"/>
    <w:tmpl w:val="E87C6F04"/>
    <w:lvl w:ilvl="0" w:tplc="1A06A85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56181829"/>
    <w:multiLevelType w:val="multilevel"/>
    <w:tmpl w:val="37D8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6A2353"/>
    <w:multiLevelType w:val="multilevel"/>
    <w:tmpl w:val="9B92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597BDB"/>
    <w:multiLevelType w:val="multilevel"/>
    <w:tmpl w:val="BC5EF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527D3B"/>
    <w:multiLevelType w:val="hybridMultilevel"/>
    <w:tmpl w:val="D75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A571C"/>
    <w:multiLevelType w:val="hybridMultilevel"/>
    <w:tmpl w:val="0FCC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60C73"/>
    <w:multiLevelType w:val="multilevel"/>
    <w:tmpl w:val="8812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4849783">
    <w:abstractNumId w:val="4"/>
  </w:num>
  <w:num w:numId="2" w16cid:durableId="10380836">
    <w:abstractNumId w:val="0"/>
  </w:num>
  <w:num w:numId="3" w16cid:durableId="1125809347">
    <w:abstractNumId w:val="2"/>
  </w:num>
  <w:num w:numId="4" w16cid:durableId="1321884558">
    <w:abstractNumId w:val="9"/>
  </w:num>
  <w:num w:numId="5" w16cid:durableId="369038147">
    <w:abstractNumId w:val="10"/>
  </w:num>
  <w:num w:numId="6" w16cid:durableId="197664270">
    <w:abstractNumId w:val="10"/>
  </w:num>
  <w:num w:numId="7" w16cid:durableId="1687561888">
    <w:abstractNumId w:val="8"/>
  </w:num>
  <w:num w:numId="8" w16cid:durableId="162480310">
    <w:abstractNumId w:val="11"/>
  </w:num>
  <w:num w:numId="9" w16cid:durableId="1487865384">
    <w:abstractNumId w:val="7"/>
  </w:num>
  <w:num w:numId="10" w16cid:durableId="1471358089">
    <w:abstractNumId w:val="6"/>
  </w:num>
  <w:num w:numId="11" w16cid:durableId="1868563456">
    <w:abstractNumId w:val="3"/>
  </w:num>
  <w:num w:numId="12" w16cid:durableId="1377461741">
    <w:abstractNumId w:val="1"/>
  </w:num>
  <w:num w:numId="13" w16cid:durableId="186767640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um, Janice S.">
    <w15:presenceInfo w15:providerId="AD" w15:userId="S::jblum@iu.edu::7946dc41-50d5-4df7-a97c-196455b56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DB"/>
    <w:rsid w:val="0000155B"/>
    <w:rsid w:val="000114CD"/>
    <w:rsid w:val="00011B72"/>
    <w:rsid w:val="00014077"/>
    <w:rsid w:val="00023A7D"/>
    <w:rsid w:val="000623DA"/>
    <w:rsid w:val="000641D1"/>
    <w:rsid w:val="00073135"/>
    <w:rsid w:val="0007572D"/>
    <w:rsid w:val="000B2609"/>
    <w:rsid w:val="000B324D"/>
    <w:rsid w:val="000C0062"/>
    <w:rsid w:val="000C1FEB"/>
    <w:rsid w:val="000C2817"/>
    <w:rsid w:val="000C424D"/>
    <w:rsid w:val="000C7458"/>
    <w:rsid w:val="000D29B9"/>
    <w:rsid w:val="000D5500"/>
    <w:rsid w:val="000E1E0D"/>
    <w:rsid w:val="000F1043"/>
    <w:rsid w:val="00113979"/>
    <w:rsid w:val="00120431"/>
    <w:rsid w:val="001276C3"/>
    <w:rsid w:val="00141F0E"/>
    <w:rsid w:val="00154576"/>
    <w:rsid w:val="0015789B"/>
    <w:rsid w:val="00181C5D"/>
    <w:rsid w:val="001B118D"/>
    <w:rsid w:val="001B7575"/>
    <w:rsid w:val="001D01D2"/>
    <w:rsid w:val="001F4EF7"/>
    <w:rsid w:val="00207F42"/>
    <w:rsid w:val="00207F81"/>
    <w:rsid w:val="00255652"/>
    <w:rsid w:val="00262672"/>
    <w:rsid w:val="00270A62"/>
    <w:rsid w:val="002927FD"/>
    <w:rsid w:val="00294FF1"/>
    <w:rsid w:val="002B068C"/>
    <w:rsid w:val="002B7C72"/>
    <w:rsid w:val="002D7299"/>
    <w:rsid w:val="002E09C0"/>
    <w:rsid w:val="002F2A5F"/>
    <w:rsid w:val="002F7460"/>
    <w:rsid w:val="00311ABD"/>
    <w:rsid w:val="00317EC3"/>
    <w:rsid w:val="0032242A"/>
    <w:rsid w:val="003314DC"/>
    <w:rsid w:val="003562C8"/>
    <w:rsid w:val="00357136"/>
    <w:rsid w:val="00357FE0"/>
    <w:rsid w:val="003810CF"/>
    <w:rsid w:val="00386AD2"/>
    <w:rsid w:val="00391363"/>
    <w:rsid w:val="003A5466"/>
    <w:rsid w:val="003A6CCD"/>
    <w:rsid w:val="003C5BC8"/>
    <w:rsid w:val="003C775E"/>
    <w:rsid w:val="003D3407"/>
    <w:rsid w:val="003E5709"/>
    <w:rsid w:val="003F06FF"/>
    <w:rsid w:val="003F0F1C"/>
    <w:rsid w:val="00400A60"/>
    <w:rsid w:val="004019AB"/>
    <w:rsid w:val="00412C2E"/>
    <w:rsid w:val="00415C27"/>
    <w:rsid w:val="00416412"/>
    <w:rsid w:val="00424B8F"/>
    <w:rsid w:val="004368C8"/>
    <w:rsid w:val="004408FD"/>
    <w:rsid w:val="004655DC"/>
    <w:rsid w:val="00475127"/>
    <w:rsid w:val="00477E24"/>
    <w:rsid w:val="004968D3"/>
    <w:rsid w:val="004A16DB"/>
    <w:rsid w:val="004A3ED8"/>
    <w:rsid w:val="004B7724"/>
    <w:rsid w:val="004C47D3"/>
    <w:rsid w:val="004D0A79"/>
    <w:rsid w:val="004D5CFD"/>
    <w:rsid w:val="004D7ED5"/>
    <w:rsid w:val="004F670D"/>
    <w:rsid w:val="0050422E"/>
    <w:rsid w:val="00520B88"/>
    <w:rsid w:val="00524AB4"/>
    <w:rsid w:val="005451DA"/>
    <w:rsid w:val="00561E83"/>
    <w:rsid w:val="00570BE0"/>
    <w:rsid w:val="00575BE9"/>
    <w:rsid w:val="00584642"/>
    <w:rsid w:val="00594956"/>
    <w:rsid w:val="00597DCF"/>
    <w:rsid w:val="005D140C"/>
    <w:rsid w:val="00604182"/>
    <w:rsid w:val="00607FAE"/>
    <w:rsid w:val="0061612B"/>
    <w:rsid w:val="0062018B"/>
    <w:rsid w:val="00641467"/>
    <w:rsid w:val="00641856"/>
    <w:rsid w:val="00641B79"/>
    <w:rsid w:val="006478DE"/>
    <w:rsid w:val="00651E5A"/>
    <w:rsid w:val="00660BAB"/>
    <w:rsid w:val="00661C76"/>
    <w:rsid w:val="006621F5"/>
    <w:rsid w:val="0066588B"/>
    <w:rsid w:val="0067465A"/>
    <w:rsid w:val="00674881"/>
    <w:rsid w:val="00691D1B"/>
    <w:rsid w:val="006936B0"/>
    <w:rsid w:val="006A2792"/>
    <w:rsid w:val="006A75BD"/>
    <w:rsid w:val="006B0293"/>
    <w:rsid w:val="006C0A5A"/>
    <w:rsid w:val="006C25AC"/>
    <w:rsid w:val="006C43E7"/>
    <w:rsid w:val="006C578B"/>
    <w:rsid w:val="006C7DB7"/>
    <w:rsid w:val="006D57FA"/>
    <w:rsid w:val="006E0635"/>
    <w:rsid w:val="006E0CAE"/>
    <w:rsid w:val="006F3CD5"/>
    <w:rsid w:val="006F4FAA"/>
    <w:rsid w:val="006F63A6"/>
    <w:rsid w:val="00702AE0"/>
    <w:rsid w:val="00711F21"/>
    <w:rsid w:val="007222BC"/>
    <w:rsid w:val="0072555F"/>
    <w:rsid w:val="007366ED"/>
    <w:rsid w:val="00741B5D"/>
    <w:rsid w:val="00743DBB"/>
    <w:rsid w:val="00745ABA"/>
    <w:rsid w:val="00751CC3"/>
    <w:rsid w:val="00764FF6"/>
    <w:rsid w:val="007662F7"/>
    <w:rsid w:val="0076707B"/>
    <w:rsid w:val="007852CC"/>
    <w:rsid w:val="00785760"/>
    <w:rsid w:val="007B57A2"/>
    <w:rsid w:val="007C0B2F"/>
    <w:rsid w:val="007C2BAB"/>
    <w:rsid w:val="007C3116"/>
    <w:rsid w:val="007D145A"/>
    <w:rsid w:val="007D73D2"/>
    <w:rsid w:val="007E18E2"/>
    <w:rsid w:val="007E19F9"/>
    <w:rsid w:val="007E23B1"/>
    <w:rsid w:val="007E6F3E"/>
    <w:rsid w:val="007F7435"/>
    <w:rsid w:val="007F7959"/>
    <w:rsid w:val="00802275"/>
    <w:rsid w:val="00814B94"/>
    <w:rsid w:val="00815FE8"/>
    <w:rsid w:val="00842548"/>
    <w:rsid w:val="00856EC8"/>
    <w:rsid w:val="008978AE"/>
    <w:rsid w:val="008A5F4F"/>
    <w:rsid w:val="008A7CFF"/>
    <w:rsid w:val="008A7E52"/>
    <w:rsid w:val="008B287A"/>
    <w:rsid w:val="008D5847"/>
    <w:rsid w:val="008D5CD9"/>
    <w:rsid w:val="008F5FA6"/>
    <w:rsid w:val="009105DE"/>
    <w:rsid w:val="009133B3"/>
    <w:rsid w:val="00957C11"/>
    <w:rsid w:val="00967888"/>
    <w:rsid w:val="009C3DBC"/>
    <w:rsid w:val="009C5370"/>
    <w:rsid w:val="009D3B12"/>
    <w:rsid w:val="009D7B44"/>
    <w:rsid w:val="009E1E36"/>
    <w:rsid w:val="009E5D4F"/>
    <w:rsid w:val="009F056F"/>
    <w:rsid w:val="009F759F"/>
    <w:rsid w:val="00A120A9"/>
    <w:rsid w:val="00A12251"/>
    <w:rsid w:val="00A17B30"/>
    <w:rsid w:val="00A2524B"/>
    <w:rsid w:val="00A255A8"/>
    <w:rsid w:val="00A32955"/>
    <w:rsid w:val="00A350DC"/>
    <w:rsid w:val="00A4113E"/>
    <w:rsid w:val="00A43AD7"/>
    <w:rsid w:val="00A442BD"/>
    <w:rsid w:val="00A46A97"/>
    <w:rsid w:val="00A552B5"/>
    <w:rsid w:val="00A70832"/>
    <w:rsid w:val="00A76952"/>
    <w:rsid w:val="00A90FD4"/>
    <w:rsid w:val="00A91D68"/>
    <w:rsid w:val="00A923DB"/>
    <w:rsid w:val="00A96EB0"/>
    <w:rsid w:val="00AA6E36"/>
    <w:rsid w:val="00AA70B4"/>
    <w:rsid w:val="00AD4B6A"/>
    <w:rsid w:val="00AF58B4"/>
    <w:rsid w:val="00AF6BDC"/>
    <w:rsid w:val="00B020A3"/>
    <w:rsid w:val="00B0618B"/>
    <w:rsid w:val="00B10DC2"/>
    <w:rsid w:val="00B1128D"/>
    <w:rsid w:val="00B13996"/>
    <w:rsid w:val="00B23B83"/>
    <w:rsid w:val="00B357FB"/>
    <w:rsid w:val="00B42DCB"/>
    <w:rsid w:val="00B46447"/>
    <w:rsid w:val="00B54A49"/>
    <w:rsid w:val="00B5622F"/>
    <w:rsid w:val="00B6644A"/>
    <w:rsid w:val="00B66BD4"/>
    <w:rsid w:val="00B9120C"/>
    <w:rsid w:val="00B93F2B"/>
    <w:rsid w:val="00B94CA9"/>
    <w:rsid w:val="00BA081D"/>
    <w:rsid w:val="00BA6A08"/>
    <w:rsid w:val="00BC31DA"/>
    <w:rsid w:val="00BC5EE9"/>
    <w:rsid w:val="00BC7A14"/>
    <w:rsid w:val="00BD605A"/>
    <w:rsid w:val="00BF12E3"/>
    <w:rsid w:val="00BF7BD0"/>
    <w:rsid w:val="00C03B80"/>
    <w:rsid w:val="00C05387"/>
    <w:rsid w:val="00C057CD"/>
    <w:rsid w:val="00C173B2"/>
    <w:rsid w:val="00C32C98"/>
    <w:rsid w:val="00C354D5"/>
    <w:rsid w:val="00C377A4"/>
    <w:rsid w:val="00C45F55"/>
    <w:rsid w:val="00C54CA4"/>
    <w:rsid w:val="00C75B3C"/>
    <w:rsid w:val="00CA0519"/>
    <w:rsid w:val="00CC543C"/>
    <w:rsid w:val="00CE77DB"/>
    <w:rsid w:val="00D010C4"/>
    <w:rsid w:val="00D43104"/>
    <w:rsid w:val="00D53208"/>
    <w:rsid w:val="00D60A47"/>
    <w:rsid w:val="00D643BA"/>
    <w:rsid w:val="00D66AF9"/>
    <w:rsid w:val="00D67445"/>
    <w:rsid w:val="00D83131"/>
    <w:rsid w:val="00DA41A9"/>
    <w:rsid w:val="00DC300D"/>
    <w:rsid w:val="00DC3317"/>
    <w:rsid w:val="00DC6A63"/>
    <w:rsid w:val="00DD20C0"/>
    <w:rsid w:val="00DF6AC4"/>
    <w:rsid w:val="00DF6FA0"/>
    <w:rsid w:val="00E06E63"/>
    <w:rsid w:val="00E36BEA"/>
    <w:rsid w:val="00E536CA"/>
    <w:rsid w:val="00E62E07"/>
    <w:rsid w:val="00E65727"/>
    <w:rsid w:val="00E7222F"/>
    <w:rsid w:val="00E7392D"/>
    <w:rsid w:val="00E8133F"/>
    <w:rsid w:val="00E81805"/>
    <w:rsid w:val="00E857F2"/>
    <w:rsid w:val="00EA25B9"/>
    <w:rsid w:val="00EA66FF"/>
    <w:rsid w:val="00EB7B1A"/>
    <w:rsid w:val="00F06123"/>
    <w:rsid w:val="00F26D77"/>
    <w:rsid w:val="00F37C7D"/>
    <w:rsid w:val="00F4088D"/>
    <w:rsid w:val="00F50B4B"/>
    <w:rsid w:val="00F55699"/>
    <w:rsid w:val="00F73099"/>
    <w:rsid w:val="00FC5253"/>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9CD1"/>
  <w15:docId w15:val="{3A46D6CA-3872-45BC-BD0E-29876EAE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27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Standard1">
    <w:name w:val="Standard1"/>
    <w:basedOn w:val="Normal"/>
    <w:link w:val="Standard1Char"/>
    <w:rsid w:val="00CE77DB"/>
    <w:pPr>
      <w:spacing w:before="60" w:after="60"/>
    </w:pPr>
  </w:style>
  <w:style w:type="paragraph" w:customStyle="1" w:styleId="Formal1">
    <w:name w:val="Formal1"/>
    <w:basedOn w:val="Normal"/>
    <w:rsid w:val="00CE77DB"/>
    <w:pPr>
      <w:spacing w:before="60" w:after="60"/>
    </w:pPr>
    <w:rPr>
      <w:sz w:val="24"/>
    </w:rPr>
  </w:style>
  <w:style w:type="character" w:styleId="Hyperlink">
    <w:name w:val="Hyperlink"/>
    <w:basedOn w:val="DefaultParagraphFont"/>
    <w:unhideWhenUsed/>
    <w:rsid w:val="00357FE0"/>
    <w:rPr>
      <w:color w:val="0000FF" w:themeColor="hyperlink"/>
      <w:u w:val="single"/>
    </w:rPr>
  </w:style>
  <w:style w:type="paragraph" w:customStyle="1" w:styleId="GAC">
    <w:name w:val="GAC"/>
    <w:basedOn w:val="Heading1"/>
    <w:next w:val="Normal"/>
    <w:link w:val="GACChar"/>
    <w:qFormat/>
    <w:rsid w:val="007C2BAB"/>
    <w:rPr>
      <w:b/>
      <w:sz w:val="40"/>
    </w:rPr>
  </w:style>
  <w:style w:type="table" w:styleId="TableGridLight">
    <w:name w:val="Grid Table Light"/>
    <w:basedOn w:val="TableNormal"/>
    <w:uiPriority w:val="40"/>
    <w:rsid w:val="008022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andard1Char">
    <w:name w:val="Standard1 Char"/>
    <w:basedOn w:val="DefaultParagraphFont"/>
    <w:link w:val="Standard1"/>
    <w:rsid w:val="007C2BAB"/>
  </w:style>
  <w:style w:type="character" w:customStyle="1" w:styleId="GACChar">
    <w:name w:val="GAC Char"/>
    <w:basedOn w:val="Standard1Char"/>
    <w:link w:val="GAC"/>
    <w:rsid w:val="001276C3"/>
    <w:rPr>
      <w:rFonts w:asciiTheme="majorHAnsi" w:eastAsiaTheme="majorEastAsia" w:hAnsiTheme="majorHAnsi" w:cstheme="majorBidi"/>
      <w:b/>
      <w:color w:val="365F91" w:themeColor="accent1" w:themeShade="BF"/>
      <w:sz w:val="40"/>
      <w:szCs w:val="32"/>
    </w:rPr>
  </w:style>
  <w:style w:type="paragraph" w:styleId="Header">
    <w:name w:val="header"/>
    <w:basedOn w:val="Normal"/>
    <w:link w:val="HeaderChar"/>
    <w:semiHidden/>
    <w:unhideWhenUsed/>
    <w:rsid w:val="007C2BAB"/>
    <w:pPr>
      <w:tabs>
        <w:tab w:val="center" w:pos="4680"/>
        <w:tab w:val="right" w:pos="9360"/>
      </w:tabs>
    </w:pPr>
  </w:style>
  <w:style w:type="character" w:customStyle="1" w:styleId="HeaderChar">
    <w:name w:val="Header Char"/>
    <w:basedOn w:val="DefaultParagraphFont"/>
    <w:link w:val="Header"/>
    <w:semiHidden/>
    <w:rsid w:val="007C2BAB"/>
  </w:style>
  <w:style w:type="character" w:customStyle="1" w:styleId="Heading1Char">
    <w:name w:val="Heading 1 Char"/>
    <w:basedOn w:val="DefaultParagraphFont"/>
    <w:link w:val="Heading1"/>
    <w:rsid w:val="001276C3"/>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E1E36"/>
    <w:rPr>
      <w:color w:val="605E5C"/>
      <w:shd w:val="clear" w:color="auto" w:fill="E1DFDD"/>
    </w:rPr>
  </w:style>
  <w:style w:type="character" w:styleId="CommentReference">
    <w:name w:val="annotation reference"/>
    <w:basedOn w:val="DefaultParagraphFont"/>
    <w:semiHidden/>
    <w:unhideWhenUsed/>
    <w:rsid w:val="00D83131"/>
    <w:rPr>
      <w:sz w:val="16"/>
      <w:szCs w:val="16"/>
    </w:rPr>
  </w:style>
  <w:style w:type="paragraph" w:styleId="CommentText">
    <w:name w:val="annotation text"/>
    <w:basedOn w:val="Normal"/>
    <w:link w:val="CommentTextChar"/>
    <w:unhideWhenUsed/>
    <w:rsid w:val="00D83131"/>
  </w:style>
  <w:style w:type="character" w:customStyle="1" w:styleId="CommentTextChar">
    <w:name w:val="Comment Text Char"/>
    <w:basedOn w:val="DefaultParagraphFont"/>
    <w:link w:val="CommentText"/>
    <w:rsid w:val="00D83131"/>
  </w:style>
  <w:style w:type="paragraph" w:styleId="CommentSubject">
    <w:name w:val="annotation subject"/>
    <w:basedOn w:val="CommentText"/>
    <w:next w:val="CommentText"/>
    <w:link w:val="CommentSubjectChar"/>
    <w:semiHidden/>
    <w:unhideWhenUsed/>
    <w:rsid w:val="00D83131"/>
    <w:rPr>
      <w:b/>
      <w:bCs/>
    </w:rPr>
  </w:style>
  <w:style w:type="character" w:customStyle="1" w:styleId="CommentSubjectChar">
    <w:name w:val="Comment Subject Char"/>
    <w:basedOn w:val="CommentTextChar"/>
    <w:link w:val="CommentSubject"/>
    <w:semiHidden/>
    <w:rsid w:val="00D83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125">
      <w:bodyDiv w:val="1"/>
      <w:marLeft w:val="0"/>
      <w:marRight w:val="0"/>
      <w:marTop w:val="0"/>
      <w:marBottom w:val="0"/>
      <w:divBdr>
        <w:top w:val="none" w:sz="0" w:space="0" w:color="auto"/>
        <w:left w:val="none" w:sz="0" w:space="0" w:color="auto"/>
        <w:bottom w:val="none" w:sz="0" w:space="0" w:color="auto"/>
        <w:right w:val="none" w:sz="0" w:space="0" w:color="auto"/>
      </w:divBdr>
    </w:div>
    <w:div w:id="256208469">
      <w:bodyDiv w:val="1"/>
      <w:marLeft w:val="0"/>
      <w:marRight w:val="0"/>
      <w:marTop w:val="0"/>
      <w:marBottom w:val="0"/>
      <w:divBdr>
        <w:top w:val="none" w:sz="0" w:space="0" w:color="auto"/>
        <w:left w:val="none" w:sz="0" w:space="0" w:color="auto"/>
        <w:bottom w:val="none" w:sz="0" w:space="0" w:color="auto"/>
        <w:right w:val="none" w:sz="0" w:space="0" w:color="auto"/>
      </w:divBdr>
    </w:div>
    <w:div w:id="549926714">
      <w:bodyDiv w:val="1"/>
      <w:marLeft w:val="0"/>
      <w:marRight w:val="0"/>
      <w:marTop w:val="0"/>
      <w:marBottom w:val="0"/>
      <w:divBdr>
        <w:top w:val="none" w:sz="0" w:space="0" w:color="auto"/>
        <w:left w:val="none" w:sz="0" w:space="0" w:color="auto"/>
        <w:bottom w:val="none" w:sz="0" w:space="0" w:color="auto"/>
        <w:right w:val="none" w:sz="0" w:space="0" w:color="auto"/>
      </w:divBdr>
    </w:div>
    <w:div w:id="760176187">
      <w:bodyDiv w:val="1"/>
      <w:marLeft w:val="0"/>
      <w:marRight w:val="0"/>
      <w:marTop w:val="0"/>
      <w:marBottom w:val="0"/>
      <w:divBdr>
        <w:top w:val="none" w:sz="0" w:space="0" w:color="auto"/>
        <w:left w:val="none" w:sz="0" w:space="0" w:color="auto"/>
        <w:bottom w:val="none" w:sz="0" w:space="0" w:color="auto"/>
        <w:right w:val="none" w:sz="0" w:space="0" w:color="auto"/>
      </w:divBdr>
    </w:div>
    <w:div w:id="827483743">
      <w:bodyDiv w:val="1"/>
      <w:marLeft w:val="0"/>
      <w:marRight w:val="0"/>
      <w:marTop w:val="0"/>
      <w:marBottom w:val="0"/>
      <w:divBdr>
        <w:top w:val="none" w:sz="0" w:space="0" w:color="auto"/>
        <w:left w:val="none" w:sz="0" w:space="0" w:color="auto"/>
        <w:bottom w:val="none" w:sz="0" w:space="0" w:color="auto"/>
        <w:right w:val="none" w:sz="0" w:space="0" w:color="auto"/>
      </w:divBdr>
    </w:div>
    <w:div w:id="833253575">
      <w:bodyDiv w:val="1"/>
      <w:marLeft w:val="0"/>
      <w:marRight w:val="0"/>
      <w:marTop w:val="0"/>
      <w:marBottom w:val="0"/>
      <w:divBdr>
        <w:top w:val="none" w:sz="0" w:space="0" w:color="auto"/>
        <w:left w:val="none" w:sz="0" w:space="0" w:color="auto"/>
        <w:bottom w:val="none" w:sz="0" w:space="0" w:color="auto"/>
        <w:right w:val="none" w:sz="0" w:space="0" w:color="auto"/>
      </w:divBdr>
    </w:div>
    <w:div w:id="888807535">
      <w:bodyDiv w:val="1"/>
      <w:marLeft w:val="0"/>
      <w:marRight w:val="0"/>
      <w:marTop w:val="0"/>
      <w:marBottom w:val="0"/>
      <w:divBdr>
        <w:top w:val="none" w:sz="0" w:space="0" w:color="auto"/>
        <w:left w:val="none" w:sz="0" w:space="0" w:color="auto"/>
        <w:bottom w:val="none" w:sz="0" w:space="0" w:color="auto"/>
        <w:right w:val="none" w:sz="0" w:space="0" w:color="auto"/>
      </w:divBdr>
    </w:div>
    <w:div w:id="927732034">
      <w:bodyDiv w:val="1"/>
      <w:marLeft w:val="0"/>
      <w:marRight w:val="0"/>
      <w:marTop w:val="0"/>
      <w:marBottom w:val="0"/>
      <w:divBdr>
        <w:top w:val="none" w:sz="0" w:space="0" w:color="auto"/>
        <w:left w:val="none" w:sz="0" w:space="0" w:color="auto"/>
        <w:bottom w:val="none" w:sz="0" w:space="0" w:color="auto"/>
        <w:right w:val="none" w:sz="0" w:space="0" w:color="auto"/>
      </w:divBdr>
    </w:div>
    <w:div w:id="948201829">
      <w:bodyDiv w:val="1"/>
      <w:marLeft w:val="0"/>
      <w:marRight w:val="0"/>
      <w:marTop w:val="0"/>
      <w:marBottom w:val="0"/>
      <w:divBdr>
        <w:top w:val="none" w:sz="0" w:space="0" w:color="auto"/>
        <w:left w:val="none" w:sz="0" w:space="0" w:color="auto"/>
        <w:bottom w:val="none" w:sz="0" w:space="0" w:color="auto"/>
        <w:right w:val="none" w:sz="0" w:space="0" w:color="auto"/>
      </w:divBdr>
    </w:div>
    <w:div w:id="1155301114">
      <w:bodyDiv w:val="1"/>
      <w:marLeft w:val="0"/>
      <w:marRight w:val="0"/>
      <w:marTop w:val="0"/>
      <w:marBottom w:val="0"/>
      <w:divBdr>
        <w:top w:val="none" w:sz="0" w:space="0" w:color="auto"/>
        <w:left w:val="none" w:sz="0" w:space="0" w:color="auto"/>
        <w:bottom w:val="none" w:sz="0" w:space="0" w:color="auto"/>
        <w:right w:val="none" w:sz="0" w:space="0" w:color="auto"/>
      </w:divBdr>
    </w:div>
    <w:div w:id="1202282920">
      <w:bodyDiv w:val="1"/>
      <w:marLeft w:val="0"/>
      <w:marRight w:val="0"/>
      <w:marTop w:val="0"/>
      <w:marBottom w:val="0"/>
      <w:divBdr>
        <w:top w:val="none" w:sz="0" w:space="0" w:color="auto"/>
        <w:left w:val="none" w:sz="0" w:space="0" w:color="auto"/>
        <w:bottom w:val="none" w:sz="0" w:space="0" w:color="auto"/>
        <w:right w:val="none" w:sz="0" w:space="0" w:color="auto"/>
      </w:divBdr>
    </w:div>
    <w:div w:id="1209612516">
      <w:bodyDiv w:val="1"/>
      <w:marLeft w:val="0"/>
      <w:marRight w:val="0"/>
      <w:marTop w:val="0"/>
      <w:marBottom w:val="0"/>
      <w:divBdr>
        <w:top w:val="none" w:sz="0" w:space="0" w:color="auto"/>
        <w:left w:val="none" w:sz="0" w:space="0" w:color="auto"/>
        <w:bottom w:val="none" w:sz="0" w:space="0" w:color="auto"/>
        <w:right w:val="none" w:sz="0" w:space="0" w:color="auto"/>
      </w:divBdr>
    </w:div>
    <w:div w:id="1210335384">
      <w:bodyDiv w:val="1"/>
      <w:marLeft w:val="0"/>
      <w:marRight w:val="0"/>
      <w:marTop w:val="0"/>
      <w:marBottom w:val="0"/>
      <w:divBdr>
        <w:top w:val="none" w:sz="0" w:space="0" w:color="auto"/>
        <w:left w:val="none" w:sz="0" w:space="0" w:color="auto"/>
        <w:bottom w:val="none" w:sz="0" w:space="0" w:color="auto"/>
        <w:right w:val="none" w:sz="0" w:space="0" w:color="auto"/>
      </w:divBdr>
    </w:div>
    <w:div w:id="1258438359">
      <w:bodyDiv w:val="1"/>
      <w:marLeft w:val="0"/>
      <w:marRight w:val="0"/>
      <w:marTop w:val="0"/>
      <w:marBottom w:val="0"/>
      <w:divBdr>
        <w:top w:val="none" w:sz="0" w:space="0" w:color="auto"/>
        <w:left w:val="none" w:sz="0" w:space="0" w:color="auto"/>
        <w:bottom w:val="none" w:sz="0" w:space="0" w:color="auto"/>
        <w:right w:val="none" w:sz="0" w:space="0" w:color="auto"/>
      </w:divBdr>
    </w:div>
    <w:div w:id="1300302218">
      <w:bodyDiv w:val="1"/>
      <w:marLeft w:val="0"/>
      <w:marRight w:val="0"/>
      <w:marTop w:val="0"/>
      <w:marBottom w:val="0"/>
      <w:divBdr>
        <w:top w:val="none" w:sz="0" w:space="0" w:color="auto"/>
        <w:left w:val="none" w:sz="0" w:space="0" w:color="auto"/>
        <w:bottom w:val="none" w:sz="0" w:space="0" w:color="auto"/>
        <w:right w:val="none" w:sz="0" w:space="0" w:color="auto"/>
      </w:divBdr>
    </w:div>
    <w:div w:id="1324695740">
      <w:bodyDiv w:val="1"/>
      <w:marLeft w:val="0"/>
      <w:marRight w:val="0"/>
      <w:marTop w:val="0"/>
      <w:marBottom w:val="0"/>
      <w:divBdr>
        <w:top w:val="none" w:sz="0" w:space="0" w:color="auto"/>
        <w:left w:val="none" w:sz="0" w:space="0" w:color="auto"/>
        <w:bottom w:val="none" w:sz="0" w:space="0" w:color="auto"/>
        <w:right w:val="none" w:sz="0" w:space="0" w:color="auto"/>
      </w:divBdr>
    </w:div>
    <w:div w:id="1558739369">
      <w:bodyDiv w:val="1"/>
      <w:marLeft w:val="0"/>
      <w:marRight w:val="0"/>
      <w:marTop w:val="0"/>
      <w:marBottom w:val="0"/>
      <w:divBdr>
        <w:top w:val="none" w:sz="0" w:space="0" w:color="auto"/>
        <w:left w:val="none" w:sz="0" w:space="0" w:color="auto"/>
        <w:bottom w:val="none" w:sz="0" w:space="0" w:color="auto"/>
        <w:right w:val="none" w:sz="0" w:space="0" w:color="auto"/>
      </w:divBdr>
    </w:div>
    <w:div w:id="1696419401">
      <w:bodyDiv w:val="1"/>
      <w:marLeft w:val="0"/>
      <w:marRight w:val="0"/>
      <w:marTop w:val="0"/>
      <w:marBottom w:val="0"/>
      <w:divBdr>
        <w:top w:val="none" w:sz="0" w:space="0" w:color="auto"/>
        <w:left w:val="none" w:sz="0" w:space="0" w:color="auto"/>
        <w:bottom w:val="none" w:sz="0" w:space="0" w:color="auto"/>
        <w:right w:val="none" w:sz="0" w:space="0" w:color="auto"/>
      </w:divBdr>
    </w:div>
    <w:div w:id="1737126525">
      <w:bodyDiv w:val="1"/>
      <w:marLeft w:val="0"/>
      <w:marRight w:val="0"/>
      <w:marTop w:val="0"/>
      <w:marBottom w:val="0"/>
      <w:divBdr>
        <w:top w:val="none" w:sz="0" w:space="0" w:color="auto"/>
        <w:left w:val="none" w:sz="0" w:space="0" w:color="auto"/>
        <w:bottom w:val="none" w:sz="0" w:space="0" w:color="auto"/>
        <w:right w:val="none" w:sz="0" w:space="0" w:color="auto"/>
      </w:divBdr>
    </w:div>
    <w:div w:id="1784618523">
      <w:bodyDiv w:val="1"/>
      <w:marLeft w:val="0"/>
      <w:marRight w:val="0"/>
      <w:marTop w:val="0"/>
      <w:marBottom w:val="0"/>
      <w:divBdr>
        <w:top w:val="none" w:sz="0" w:space="0" w:color="auto"/>
        <w:left w:val="none" w:sz="0" w:space="0" w:color="auto"/>
        <w:bottom w:val="none" w:sz="0" w:space="0" w:color="auto"/>
        <w:right w:val="none" w:sz="0" w:space="0" w:color="auto"/>
      </w:divBdr>
    </w:div>
    <w:div w:id="1814517132">
      <w:bodyDiv w:val="1"/>
      <w:marLeft w:val="0"/>
      <w:marRight w:val="0"/>
      <w:marTop w:val="0"/>
      <w:marBottom w:val="0"/>
      <w:divBdr>
        <w:top w:val="none" w:sz="0" w:space="0" w:color="auto"/>
        <w:left w:val="none" w:sz="0" w:space="0" w:color="auto"/>
        <w:bottom w:val="none" w:sz="0" w:space="0" w:color="auto"/>
        <w:right w:val="none" w:sz="0" w:space="0" w:color="auto"/>
      </w:divBdr>
    </w:div>
    <w:div w:id="1893156132">
      <w:bodyDiv w:val="1"/>
      <w:marLeft w:val="0"/>
      <w:marRight w:val="0"/>
      <w:marTop w:val="0"/>
      <w:marBottom w:val="0"/>
      <w:divBdr>
        <w:top w:val="none" w:sz="0" w:space="0" w:color="auto"/>
        <w:left w:val="none" w:sz="0" w:space="0" w:color="auto"/>
        <w:bottom w:val="none" w:sz="0" w:space="0" w:color="auto"/>
        <w:right w:val="none" w:sz="0" w:space="0" w:color="auto"/>
      </w:divBdr>
    </w:div>
    <w:div w:id="1894080965">
      <w:bodyDiv w:val="1"/>
      <w:marLeft w:val="0"/>
      <w:marRight w:val="0"/>
      <w:marTop w:val="0"/>
      <w:marBottom w:val="0"/>
      <w:divBdr>
        <w:top w:val="none" w:sz="0" w:space="0" w:color="auto"/>
        <w:left w:val="none" w:sz="0" w:space="0" w:color="auto"/>
        <w:bottom w:val="none" w:sz="0" w:space="0" w:color="auto"/>
        <w:right w:val="none" w:sz="0" w:space="0" w:color="auto"/>
      </w:divBdr>
    </w:div>
    <w:div w:id="1919826415">
      <w:bodyDiv w:val="1"/>
      <w:marLeft w:val="0"/>
      <w:marRight w:val="0"/>
      <w:marTop w:val="0"/>
      <w:marBottom w:val="0"/>
      <w:divBdr>
        <w:top w:val="none" w:sz="0" w:space="0" w:color="auto"/>
        <w:left w:val="none" w:sz="0" w:space="0" w:color="auto"/>
        <w:bottom w:val="none" w:sz="0" w:space="0" w:color="auto"/>
        <w:right w:val="none" w:sz="0" w:space="0" w:color="auto"/>
      </w:divBdr>
    </w:div>
    <w:div w:id="2001420334">
      <w:bodyDiv w:val="1"/>
      <w:marLeft w:val="0"/>
      <w:marRight w:val="0"/>
      <w:marTop w:val="0"/>
      <w:marBottom w:val="0"/>
      <w:divBdr>
        <w:top w:val="none" w:sz="0" w:space="0" w:color="auto"/>
        <w:left w:val="none" w:sz="0" w:space="0" w:color="auto"/>
        <w:bottom w:val="none" w:sz="0" w:space="0" w:color="auto"/>
        <w:right w:val="none" w:sz="0" w:space="0" w:color="auto"/>
      </w:divBdr>
    </w:div>
    <w:div w:id="2027247968">
      <w:bodyDiv w:val="1"/>
      <w:marLeft w:val="0"/>
      <w:marRight w:val="0"/>
      <w:marTop w:val="0"/>
      <w:marBottom w:val="0"/>
      <w:divBdr>
        <w:top w:val="none" w:sz="0" w:space="0" w:color="auto"/>
        <w:left w:val="none" w:sz="0" w:space="0" w:color="auto"/>
        <w:bottom w:val="none" w:sz="0" w:space="0" w:color="auto"/>
        <w:right w:val="none" w:sz="0" w:space="0" w:color="auto"/>
      </w:divBdr>
    </w:div>
    <w:div w:id="2101439441">
      <w:bodyDiv w:val="1"/>
      <w:marLeft w:val="0"/>
      <w:marRight w:val="0"/>
      <w:marTop w:val="0"/>
      <w:marBottom w:val="0"/>
      <w:divBdr>
        <w:top w:val="none" w:sz="0" w:space="0" w:color="auto"/>
        <w:left w:val="none" w:sz="0" w:space="0" w:color="auto"/>
        <w:bottom w:val="none" w:sz="0" w:space="0" w:color="auto"/>
        <w:right w:val="none" w:sz="0" w:space="0" w:color="auto"/>
      </w:divBdr>
    </w:div>
    <w:div w:id="21156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zdes\AppData\Roaming\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E8FF9-A8FC-4E0A-B398-DEADCEF0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wizard.Wiz</Template>
  <TotalTime>8</TotalTime>
  <Pages>4</Pages>
  <Words>2122</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Graduate Affairs Committee</vt:lpstr>
    </vt:vector>
  </TitlesOfParts>
  <Company>Indiana University</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Affairs Committee</dc:title>
  <dc:subject>Approval of the Minutes for February 26, 2013</dc:subject>
  <dc:creator>Blum, Janice S.</dc:creator>
  <cp:lastModifiedBy>Despain, Dezra</cp:lastModifiedBy>
  <cp:revision>3</cp:revision>
  <dcterms:created xsi:type="dcterms:W3CDTF">2025-04-17T16:29:00Z</dcterms:created>
  <dcterms:modified xsi:type="dcterms:W3CDTF">2025-04-24T19:55:00Z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